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E4577" w14:textId="77777777" w:rsidR="00523FB1" w:rsidRPr="00F16B6D" w:rsidRDefault="00523FB1" w:rsidP="00AA6807">
      <w:pPr>
        <w:spacing w:line="360" w:lineRule="auto"/>
        <w:rPr>
          <w:color w:val="171717" w:themeColor="background2" w:themeShade="1A"/>
        </w:rPr>
      </w:pPr>
    </w:p>
    <w:p w14:paraId="58DBCBC2" w14:textId="77777777" w:rsidR="00523FB1" w:rsidRPr="00F16B6D" w:rsidRDefault="00000000" w:rsidP="00AA6807">
      <w:pPr>
        <w:spacing w:before="120" w:after="60" w:line="360" w:lineRule="auto"/>
        <w:jc w:val="right"/>
        <w:rPr>
          <w:color w:val="171717" w:themeColor="background2" w:themeShade="1A"/>
        </w:rPr>
      </w:pPr>
      <w:r w:rsidRPr="00F16B6D">
        <w:rPr>
          <w:color w:val="171717" w:themeColor="background2" w:themeShade="1A"/>
          <w:sz w:val="18"/>
          <w:szCs w:val="18"/>
        </w:rPr>
        <w:t>Policy Reference: HH-002 | Version 1.0 | May 2025</w:t>
      </w:r>
    </w:p>
    <w:p w14:paraId="7ADE620B" w14:textId="77777777" w:rsidR="00AE6D70" w:rsidRDefault="00AE6D70" w:rsidP="00AA6807">
      <w:pPr>
        <w:spacing w:after="80" w:line="360" w:lineRule="auto"/>
        <w:jc w:val="center"/>
        <w:rPr>
          <w:b/>
          <w:bCs/>
          <w:color w:val="171717" w:themeColor="background2" w:themeShade="1A"/>
          <w:sz w:val="40"/>
          <w:szCs w:val="40"/>
        </w:rPr>
      </w:pPr>
      <w:r w:rsidRPr="00601446">
        <w:rPr>
          <w:noProof/>
          <w:color w:val="171717" w:themeColor="background2" w:themeShade="1A"/>
        </w:rPr>
        <w:drawing>
          <wp:inline distT="0" distB="0" distL="0" distR="0" wp14:anchorId="599CB379" wp14:editId="6B9E20C4">
            <wp:extent cx="1756957" cy="1225550"/>
            <wp:effectExtent l="0" t="0" r="0" b="0"/>
            <wp:docPr id="2021528591" name="Picture 1" descr="A logo with white letters and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528591" name="Picture 1" descr="A logo with white letters and yellow circ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6591" cy="1239246"/>
                    </a:xfrm>
                    <a:prstGeom prst="rect">
                      <a:avLst/>
                    </a:prstGeom>
                  </pic:spPr>
                </pic:pic>
              </a:graphicData>
            </a:graphic>
          </wp:inline>
        </w:drawing>
      </w:r>
    </w:p>
    <w:p w14:paraId="31822BF4" w14:textId="33BD2919" w:rsidR="00523FB1" w:rsidRPr="00F16B6D" w:rsidRDefault="00000000" w:rsidP="00AA6807">
      <w:pPr>
        <w:spacing w:after="80" w:line="360" w:lineRule="auto"/>
        <w:jc w:val="center"/>
        <w:rPr>
          <w:color w:val="171717" w:themeColor="background2" w:themeShade="1A"/>
        </w:rPr>
      </w:pPr>
      <w:r w:rsidRPr="00F16B6D">
        <w:rPr>
          <w:b/>
          <w:bCs/>
          <w:color w:val="171717" w:themeColor="background2" w:themeShade="1A"/>
          <w:sz w:val="40"/>
          <w:szCs w:val="40"/>
        </w:rPr>
        <w:t>Anti-Bribery &amp; Corruption Policy</w:t>
      </w:r>
    </w:p>
    <w:p w14:paraId="69DCEB95" w14:textId="77777777" w:rsidR="00523FB1" w:rsidRPr="00F16B6D" w:rsidRDefault="00000000" w:rsidP="00AA6807">
      <w:pPr>
        <w:spacing w:after="300" w:line="360" w:lineRule="auto"/>
        <w:jc w:val="center"/>
        <w:rPr>
          <w:color w:val="171717" w:themeColor="background2" w:themeShade="1A"/>
        </w:rPr>
      </w:pPr>
      <w:r w:rsidRPr="00F16B6D">
        <w:rPr>
          <w:i/>
          <w:iCs/>
          <w:color w:val="171717" w:themeColor="background2" w:themeShade="1A"/>
        </w:rPr>
        <w:t>Our zero-tolerance approach to bribery and corrupt practices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2256"/>
        <w:gridCol w:w="2256"/>
        <w:gridCol w:w="2257"/>
        <w:gridCol w:w="2257"/>
      </w:tblGrid>
      <w:tr w:rsidR="00523FB1" w:rsidRPr="00F16B6D" w14:paraId="7A0E0E7C" w14:textId="77777777" w:rsidTr="00F16B6D">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B46AFF5" w14:textId="77777777" w:rsidR="00523FB1" w:rsidRPr="00F16B6D" w:rsidRDefault="00000000" w:rsidP="00AA6807">
            <w:pPr>
              <w:spacing w:line="360" w:lineRule="auto"/>
              <w:jc w:val="center"/>
              <w:rPr>
                <w:color w:val="171717" w:themeColor="background2" w:themeShade="1A"/>
              </w:rPr>
            </w:pPr>
            <w:r w:rsidRPr="00F16B6D">
              <w:rPr>
                <w:b/>
                <w:bCs/>
                <w:color w:val="171717" w:themeColor="background2" w:themeShade="1A"/>
                <w:sz w:val="18"/>
                <w:szCs w:val="18"/>
              </w:rPr>
              <w:t>Policy Owner</w:t>
            </w:r>
          </w:p>
        </w:tc>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1D93B5F" w14:textId="77777777" w:rsidR="00523FB1" w:rsidRPr="00F16B6D" w:rsidRDefault="00000000" w:rsidP="00AA6807">
            <w:pPr>
              <w:spacing w:line="360" w:lineRule="auto"/>
              <w:jc w:val="center"/>
              <w:rPr>
                <w:color w:val="171717" w:themeColor="background2" w:themeShade="1A"/>
              </w:rPr>
            </w:pPr>
            <w:r w:rsidRPr="00F16B6D">
              <w:rPr>
                <w:b/>
                <w:bCs/>
                <w:color w:val="171717" w:themeColor="background2" w:themeShade="1A"/>
                <w:sz w:val="18"/>
                <w:szCs w:val="18"/>
              </w:rPr>
              <w:t>Date Issued</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5C77E88" w14:textId="77777777" w:rsidR="00523FB1" w:rsidRPr="00F16B6D" w:rsidRDefault="00000000" w:rsidP="00AA6807">
            <w:pPr>
              <w:spacing w:line="360" w:lineRule="auto"/>
              <w:jc w:val="center"/>
              <w:rPr>
                <w:color w:val="171717" w:themeColor="background2" w:themeShade="1A"/>
              </w:rPr>
            </w:pPr>
            <w:r w:rsidRPr="00F16B6D">
              <w:rPr>
                <w:b/>
                <w:bCs/>
                <w:color w:val="171717" w:themeColor="background2" w:themeShade="1A"/>
                <w:sz w:val="18"/>
                <w:szCs w:val="18"/>
              </w:rPr>
              <w:t>Review Date</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14E0B24" w14:textId="77777777" w:rsidR="00523FB1" w:rsidRPr="00F16B6D" w:rsidRDefault="00000000" w:rsidP="00AA6807">
            <w:pPr>
              <w:spacing w:line="360" w:lineRule="auto"/>
              <w:jc w:val="center"/>
              <w:rPr>
                <w:color w:val="171717" w:themeColor="background2" w:themeShade="1A"/>
              </w:rPr>
            </w:pPr>
            <w:r w:rsidRPr="00F16B6D">
              <w:rPr>
                <w:b/>
                <w:bCs/>
                <w:color w:val="171717" w:themeColor="background2" w:themeShade="1A"/>
                <w:sz w:val="18"/>
                <w:szCs w:val="18"/>
              </w:rPr>
              <w:t>Version</w:t>
            </w:r>
          </w:p>
        </w:tc>
      </w:tr>
      <w:tr w:rsidR="00523FB1" w:rsidRPr="00F16B6D" w14:paraId="112EBBFE" w14:textId="77777777" w:rsidTr="00F16B6D">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84EA3E9" w14:textId="77777777" w:rsidR="00523FB1" w:rsidRPr="00F16B6D" w:rsidRDefault="00000000" w:rsidP="00AA6807">
            <w:pPr>
              <w:spacing w:line="360" w:lineRule="auto"/>
              <w:jc w:val="center"/>
              <w:rPr>
                <w:color w:val="171717" w:themeColor="background2" w:themeShade="1A"/>
              </w:rPr>
            </w:pPr>
            <w:r w:rsidRPr="00F16B6D">
              <w:rPr>
                <w:color w:val="171717" w:themeColor="background2" w:themeShade="1A"/>
                <w:sz w:val="18"/>
                <w:szCs w:val="18"/>
              </w:rPr>
              <w:t>Senior Management</w:t>
            </w:r>
          </w:p>
        </w:tc>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BF2D4AC" w14:textId="77777777" w:rsidR="00523FB1" w:rsidRPr="00F16B6D" w:rsidRDefault="00000000" w:rsidP="00AA6807">
            <w:pPr>
              <w:spacing w:line="360" w:lineRule="auto"/>
              <w:jc w:val="center"/>
              <w:rPr>
                <w:color w:val="171717" w:themeColor="background2" w:themeShade="1A"/>
              </w:rPr>
            </w:pPr>
            <w:r w:rsidRPr="00F16B6D">
              <w:rPr>
                <w:color w:val="171717" w:themeColor="background2" w:themeShade="1A"/>
                <w:sz w:val="18"/>
                <w:szCs w:val="18"/>
              </w:rPr>
              <w:t>May 2025</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DD598B6" w14:textId="77777777" w:rsidR="00523FB1" w:rsidRPr="00F16B6D" w:rsidRDefault="00000000" w:rsidP="00AA6807">
            <w:pPr>
              <w:spacing w:line="360" w:lineRule="auto"/>
              <w:jc w:val="center"/>
              <w:rPr>
                <w:color w:val="171717" w:themeColor="background2" w:themeShade="1A"/>
              </w:rPr>
            </w:pPr>
            <w:r w:rsidRPr="00F16B6D">
              <w:rPr>
                <w:color w:val="171717" w:themeColor="background2" w:themeShade="1A"/>
                <w:sz w:val="18"/>
                <w:szCs w:val="18"/>
              </w:rPr>
              <w:t>May 2026</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65049DF" w14:textId="77777777" w:rsidR="00523FB1" w:rsidRPr="00F16B6D" w:rsidRDefault="00000000" w:rsidP="00AA6807">
            <w:pPr>
              <w:spacing w:line="360" w:lineRule="auto"/>
              <w:jc w:val="center"/>
              <w:rPr>
                <w:color w:val="171717" w:themeColor="background2" w:themeShade="1A"/>
              </w:rPr>
            </w:pPr>
            <w:r w:rsidRPr="00F16B6D">
              <w:rPr>
                <w:color w:val="171717" w:themeColor="background2" w:themeShade="1A"/>
                <w:sz w:val="18"/>
                <w:szCs w:val="18"/>
              </w:rPr>
              <w:t>1.0</w:t>
            </w:r>
          </w:p>
        </w:tc>
      </w:tr>
    </w:tbl>
    <w:p w14:paraId="48EEB9CB" w14:textId="77777777" w:rsidR="00523FB1" w:rsidRPr="00F16B6D" w:rsidRDefault="00523FB1" w:rsidP="00AA6807">
      <w:pPr>
        <w:spacing w:before="320" w:line="360" w:lineRule="auto"/>
        <w:rPr>
          <w:color w:val="171717" w:themeColor="background2" w:themeShade="1A"/>
        </w:rPr>
      </w:pPr>
    </w:p>
    <w:p w14:paraId="095A7545" w14:textId="77777777" w:rsidR="00523FB1" w:rsidRPr="00F16B6D" w:rsidRDefault="00000000" w:rsidP="00AA6807">
      <w:pPr>
        <w:spacing w:before="280" w:after="80" w:line="360" w:lineRule="auto"/>
        <w:rPr>
          <w:color w:val="171717" w:themeColor="background2" w:themeShade="1A"/>
        </w:rPr>
      </w:pPr>
      <w:r w:rsidRPr="00F16B6D">
        <w:rPr>
          <w:b/>
          <w:bCs/>
          <w:color w:val="171717" w:themeColor="background2" w:themeShade="1A"/>
          <w:sz w:val="26"/>
          <w:szCs w:val="26"/>
        </w:rPr>
        <w:t>1. Policy Statement</w:t>
      </w:r>
    </w:p>
    <w:p w14:paraId="6E518758" w14:textId="77777777" w:rsidR="00523FB1" w:rsidRPr="00F16B6D" w:rsidRDefault="00000000" w:rsidP="00AA6807">
      <w:pPr>
        <w:spacing w:before="80" w:after="80" w:line="360" w:lineRule="auto"/>
        <w:rPr>
          <w:color w:val="171717" w:themeColor="background2" w:themeShade="1A"/>
        </w:rPr>
      </w:pPr>
      <w:proofErr w:type="spellStart"/>
      <w:r w:rsidRPr="00F16B6D">
        <w:rPr>
          <w:color w:val="171717" w:themeColor="background2" w:themeShade="1A"/>
        </w:rPr>
        <w:t>Haarty</w:t>
      </w:r>
      <w:proofErr w:type="spellEnd"/>
      <w:r w:rsidRPr="00F16B6D">
        <w:rPr>
          <w:color w:val="171717" w:themeColor="background2" w:themeShade="1A"/>
        </w:rPr>
        <w:t xml:space="preserve"> Hanks is committed to conducting business fairly, honestly and openly. We operate a zero-tolerance policy towards bribery and corruption. We are committed to acting professionally, fairly and with integrity in all our business dealings and relationships wherever we operate, and implementing and enforcing effective systems to counter bribery.</w:t>
      </w:r>
    </w:p>
    <w:p w14:paraId="48C22C69" w14:textId="77777777" w:rsidR="00523FB1" w:rsidRPr="00F16B6D" w:rsidRDefault="00000000" w:rsidP="00AA6807">
      <w:pPr>
        <w:spacing w:before="80" w:after="80" w:line="360" w:lineRule="auto"/>
        <w:rPr>
          <w:color w:val="171717" w:themeColor="background2" w:themeShade="1A"/>
        </w:rPr>
      </w:pPr>
      <w:r w:rsidRPr="00F16B6D">
        <w:rPr>
          <w:color w:val="171717" w:themeColor="background2" w:themeShade="1A"/>
        </w:rPr>
        <w:t>This policy is consistent with the Bribery Act 2010 and reflects our commitment to ethical conduct.</w:t>
      </w:r>
    </w:p>
    <w:p w14:paraId="5C2E9248" w14:textId="77777777" w:rsidR="00523FB1" w:rsidRPr="00F16B6D" w:rsidRDefault="00000000" w:rsidP="00AA6807">
      <w:pPr>
        <w:spacing w:before="280" w:after="80" w:line="360" w:lineRule="auto"/>
        <w:rPr>
          <w:color w:val="171717" w:themeColor="background2" w:themeShade="1A"/>
        </w:rPr>
      </w:pPr>
      <w:r w:rsidRPr="00F16B6D">
        <w:rPr>
          <w:b/>
          <w:bCs/>
          <w:color w:val="171717" w:themeColor="background2" w:themeShade="1A"/>
          <w:sz w:val="26"/>
          <w:szCs w:val="26"/>
        </w:rPr>
        <w:t>2. Scope</w:t>
      </w:r>
    </w:p>
    <w:p w14:paraId="01AEC1B5" w14:textId="77777777" w:rsidR="00523FB1" w:rsidRPr="00F16B6D" w:rsidRDefault="00000000" w:rsidP="00AA6807">
      <w:pPr>
        <w:spacing w:before="80" w:after="80" w:line="360" w:lineRule="auto"/>
        <w:rPr>
          <w:color w:val="171717" w:themeColor="background2" w:themeShade="1A"/>
        </w:rPr>
      </w:pPr>
      <w:r w:rsidRPr="00F16B6D">
        <w:rPr>
          <w:color w:val="171717" w:themeColor="background2" w:themeShade="1A"/>
        </w:rPr>
        <w:t>This policy applies to all individuals working at all levels and grades, including senior managers, officers, directors, employees (whether permanent, fixed-term or temporary), consultants, contractors, trainees, seconded staff, homeworkers, casual workers and agency staff, volunteers, interns, agents, sponsors, or any other person associated with us, wherever located.</w:t>
      </w:r>
    </w:p>
    <w:p w14:paraId="1A2C9832" w14:textId="77777777" w:rsidR="00AE6D70" w:rsidRDefault="00AE6D70" w:rsidP="00AA6807">
      <w:pPr>
        <w:spacing w:before="280" w:after="80" w:line="360" w:lineRule="auto"/>
        <w:rPr>
          <w:b/>
          <w:bCs/>
          <w:color w:val="171717" w:themeColor="background2" w:themeShade="1A"/>
          <w:sz w:val="26"/>
          <w:szCs w:val="26"/>
        </w:rPr>
      </w:pPr>
    </w:p>
    <w:p w14:paraId="5549A43A" w14:textId="77777777" w:rsidR="00AE6D70" w:rsidRDefault="00AE6D70" w:rsidP="00AA6807">
      <w:pPr>
        <w:spacing w:before="280" w:after="80" w:line="360" w:lineRule="auto"/>
        <w:rPr>
          <w:b/>
          <w:bCs/>
          <w:color w:val="171717" w:themeColor="background2" w:themeShade="1A"/>
          <w:sz w:val="26"/>
          <w:szCs w:val="26"/>
        </w:rPr>
      </w:pPr>
    </w:p>
    <w:p w14:paraId="57BA876A" w14:textId="77777777" w:rsidR="00AE6D70" w:rsidRDefault="00AE6D70" w:rsidP="00AA6807">
      <w:pPr>
        <w:spacing w:before="280" w:after="80" w:line="360" w:lineRule="auto"/>
        <w:rPr>
          <w:b/>
          <w:bCs/>
          <w:color w:val="171717" w:themeColor="background2" w:themeShade="1A"/>
          <w:sz w:val="26"/>
          <w:szCs w:val="26"/>
        </w:rPr>
      </w:pPr>
    </w:p>
    <w:p w14:paraId="0C460854" w14:textId="77777777" w:rsidR="00AE6D70" w:rsidRDefault="00AE6D70" w:rsidP="00AA6807">
      <w:pPr>
        <w:spacing w:before="280" w:after="80" w:line="360" w:lineRule="auto"/>
        <w:rPr>
          <w:b/>
          <w:bCs/>
          <w:color w:val="171717" w:themeColor="background2" w:themeShade="1A"/>
          <w:sz w:val="26"/>
          <w:szCs w:val="26"/>
        </w:rPr>
      </w:pPr>
    </w:p>
    <w:p w14:paraId="2849DF4C" w14:textId="29E9E013" w:rsidR="00523FB1" w:rsidRPr="00F16B6D" w:rsidRDefault="00000000" w:rsidP="00AA6807">
      <w:pPr>
        <w:spacing w:before="280" w:after="80" w:line="360" w:lineRule="auto"/>
        <w:rPr>
          <w:color w:val="171717" w:themeColor="background2" w:themeShade="1A"/>
        </w:rPr>
      </w:pPr>
      <w:r w:rsidRPr="00F16B6D">
        <w:rPr>
          <w:b/>
          <w:bCs/>
          <w:color w:val="171717" w:themeColor="background2" w:themeShade="1A"/>
          <w:sz w:val="26"/>
          <w:szCs w:val="26"/>
        </w:rPr>
        <w:lastRenderedPageBreak/>
        <w:t>3. What is Bribery?</w:t>
      </w:r>
    </w:p>
    <w:p w14:paraId="35083656" w14:textId="77777777" w:rsidR="00523FB1" w:rsidRPr="00F16B6D" w:rsidRDefault="00000000" w:rsidP="00AA6807">
      <w:pPr>
        <w:spacing w:before="80" w:after="80" w:line="360" w:lineRule="auto"/>
        <w:rPr>
          <w:color w:val="171717" w:themeColor="background2" w:themeShade="1A"/>
        </w:rPr>
      </w:pPr>
      <w:r w:rsidRPr="00F16B6D">
        <w:rPr>
          <w:color w:val="171717" w:themeColor="background2" w:themeShade="1A"/>
        </w:rPr>
        <w:t>A bribe is an inducement or reward offered, promised or provided in order to gain any commercial, contractual, regulatory or personal advantage. Bribery includes:</w:t>
      </w:r>
    </w:p>
    <w:p w14:paraId="171955EA" w14:textId="77777777" w:rsidR="00523FB1" w:rsidRPr="00F16B6D" w:rsidRDefault="00000000" w:rsidP="00AA6807">
      <w:pPr>
        <w:pStyle w:val="ListParagraph"/>
        <w:numPr>
          <w:ilvl w:val="0"/>
          <w:numId w:val="2"/>
        </w:numPr>
        <w:spacing w:before="40" w:after="40" w:line="360" w:lineRule="auto"/>
        <w:rPr>
          <w:color w:val="171717" w:themeColor="background2" w:themeShade="1A"/>
        </w:rPr>
      </w:pPr>
      <w:r w:rsidRPr="00F16B6D">
        <w:rPr>
          <w:color w:val="171717" w:themeColor="background2" w:themeShade="1A"/>
        </w:rPr>
        <w:t>Offering, promising, giving, requesting, agreeing to receive or accepting any financial or other advantage in connection with the improper performance of a relevant function</w:t>
      </w:r>
    </w:p>
    <w:p w14:paraId="4201AF39" w14:textId="77777777" w:rsidR="00523FB1" w:rsidRPr="00F16B6D" w:rsidRDefault="00000000" w:rsidP="00AA6807">
      <w:pPr>
        <w:pStyle w:val="ListParagraph"/>
        <w:numPr>
          <w:ilvl w:val="0"/>
          <w:numId w:val="2"/>
        </w:numPr>
        <w:spacing w:before="40" w:after="40" w:line="360" w:lineRule="auto"/>
        <w:rPr>
          <w:color w:val="171717" w:themeColor="background2" w:themeShade="1A"/>
        </w:rPr>
      </w:pPr>
      <w:r w:rsidRPr="00F16B6D">
        <w:rPr>
          <w:color w:val="171717" w:themeColor="background2" w:themeShade="1A"/>
        </w:rPr>
        <w:t>Bribing a foreign public official</w:t>
      </w:r>
    </w:p>
    <w:p w14:paraId="55AC06E8" w14:textId="77777777" w:rsidR="00523FB1" w:rsidRPr="00F16B6D" w:rsidRDefault="00000000" w:rsidP="00AA6807">
      <w:pPr>
        <w:pStyle w:val="ListParagraph"/>
        <w:numPr>
          <w:ilvl w:val="0"/>
          <w:numId w:val="2"/>
        </w:numPr>
        <w:spacing w:before="40" w:after="40" w:line="360" w:lineRule="auto"/>
        <w:rPr>
          <w:color w:val="171717" w:themeColor="background2" w:themeShade="1A"/>
        </w:rPr>
      </w:pPr>
      <w:r w:rsidRPr="00F16B6D">
        <w:rPr>
          <w:color w:val="171717" w:themeColor="background2" w:themeShade="1A"/>
        </w:rPr>
        <w:t>Facilitating payments, even where these may be customary in certain countries</w:t>
      </w:r>
    </w:p>
    <w:p w14:paraId="4391CD05" w14:textId="77777777" w:rsidR="00523FB1" w:rsidRPr="00F16B6D" w:rsidRDefault="00000000" w:rsidP="00AA6807">
      <w:pPr>
        <w:pStyle w:val="ListParagraph"/>
        <w:numPr>
          <w:ilvl w:val="0"/>
          <w:numId w:val="2"/>
        </w:numPr>
        <w:spacing w:before="40" w:after="40" w:line="360" w:lineRule="auto"/>
        <w:rPr>
          <w:color w:val="171717" w:themeColor="background2" w:themeShade="1A"/>
        </w:rPr>
      </w:pPr>
      <w:r w:rsidRPr="00F16B6D">
        <w:rPr>
          <w:color w:val="171717" w:themeColor="background2" w:themeShade="1A"/>
        </w:rPr>
        <w:t>Kickbacks in any commercial context</w:t>
      </w:r>
    </w:p>
    <w:p w14:paraId="10BBB82C" w14:textId="77777777" w:rsidR="00F16B6D" w:rsidRDefault="00F16B6D" w:rsidP="00AA6807">
      <w:pPr>
        <w:spacing w:before="280" w:after="80" w:line="360" w:lineRule="auto"/>
        <w:rPr>
          <w:b/>
          <w:bCs/>
          <w:color w:val="171717" w:themeColor="background2" w:themeShade="1A"/>
          <w:sz w:val="26"/>
          <w:szCs w:val="26"/>
        </w:rPr>
      </w:pPr>
    </w:p>
    <w:p w14:paraId="4B731162" w14:textId="4523FD5D" w:rsidR="00523FB1" w:rsidRPr="00F16B6D" w:rsidRDefault="00000000" w:rsidP="00AA6807">
      <w:pPr>
        <w:spacing w:before="280" w:after="80" w:line="360" w:lineRule="auto"/>
        <w:rPr>
          <w:color w:val="171717" w:themeColor="background2" w:themeShade="1A"/>
        </w:rPr>
      </w:pPr>
      <w:r w:rsidRPr="00F16B6D">
        <w:rPr>
          <w:b/>
          <w:bCs/>
          <w:color w:val="171717" w:themeColor="background2" w:themeShade="1A"/>
          <w:sz w:val="26"/>
          <w:szCs w:val="26"/>
        </w:rPr>
        <w:t>4. Gifts and Hospitality</w:t>
      </w:r>
    </w:p>
    <w:p w14:paraId="186EAAE8" w14:textId="77777777" w:rsidR="00523FB1" w:rsidRPr="00F16B6D" w:rsidRDefault="00000000" w:rsidP="00AA6807">
      <w:pPr>
        <w:spacing w:before="80" w:after="80" w:line="360" w:lineRule="auto"/>
        <w:rPr>
          <w:color w:val="171717" w:themeColor="background2" w:themeShade="1A"/>
        </w:rPr>
      </w:pPr>
      <w:r w:rsidRPr="00F16B6D">
        <w:rPr>
          <w:color w:val="171717" w:themeColor="background2" w:themeShade="1A"/>
        </w:rPr>
        <w:t>We recognise that the giving and receiving of gifts and hospitality as a normal and often important part of doing business. Gifts and hospitality, however, must not be offered or accepted with the intention of improperly influencing a decision or obtaining an improper advantage.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2256"/>
        <w:gridCol w:w="3385"/>
        <w:gridCol w:w="3385"/>
      </w:tblGrid>
      <w:tr w:rsidR="00523FB1" w:rsidRPr="00F16B6D" w14:paraId="3FFD2920" w14:textId="77777777" w:rsidTr="00F16B6D">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89F32A3" w14:textId="77777777" w:rsidR="00523FB1" w:rsidRPr="00F16B6D" w:rsidRDefault="00000000" w:rsidP="00AA6807">
            <w:pPr>
              <w:spacing w:line="360" w:lineRule="auto"/>
              <w:rPr>
                <w:color w:val="171717" w:themeColor="background2" w:themeShade="1A"/>
              </w:rPr>
            </w:pPr>
            <w:r w:rsidRPr="00F16B6D">
              <w:rPr>
                <w:b/>
                <w:bCs/>
                <w:color w:val="171717" w:themeColor="background2" w:themeShade="1A"/>
                <w:sz w:val="20"/>
                <w:szCs w:val="20"/>
              </w:rPr>
              <w:t>Category</w:t>
            </w:r>
          </w:p>
        </w:tc>
        <w:tc>
          <w:tcPr>
            <w:tcW w:w="338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E66856F" w14:textId="77777777" w:rsidR="00523FB1" w:rsidRPr="00F16B6D" w:rsidRDefault="00000000" w:rsidP="00AA6807">
            <w:pPr>
              <w:spacing w:line="360" w:lineRule="auto"/>
              <w:rPr>
                <w:color w:val="171717" w:themeColor="background2" w:themeShade="1A"/>
              </w:rPr>
            </w:pPr>
            <w:r w:rsidRPr="00F16B6D">
              <w:rPr>
                <w:b/>
                <w:bCs/>
                <w:color w:val="171717" w:themeColor="background2" w:themeShade="1A"/>
                <w:sz w:val="20"/>
                <w:szCs w:val="20"/>
              </w:rPr>
              <w:t>Acceptable</w:t>
            </w:r>
          </w:p>
        </w:tc>
        <w:tc>
          <w:tcPr>
            <w:tcW w:w="338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E19D494" w14:textId="77777777" w:rsidR="00523FB1" w:rsidRPr="00F16B6D" w:rsidRDefault="00000000" w:rsidP="00AA6807">
            <w:pPr>
              <w:spacing w:line="360" w:lineRule="auto"/>
              <w:rPr>
                <w:color w:val="171717" w:themeColor="background2" w:themeShade="1A"/>
              </w:rPr>
            </w:pPr>
            <w:r w:rsidRPr="00F16B6D">
              <w:rPr>
                <w:b/>
                <w:bCs/>
                <w:color w:val="171717" w:themeColor="background2" w:themeShade="1A"/>
                <w:sz w:val="20"/>
                <w:szCs w:val="20"/>
              </w:rPr>
              <w:t>Not Acceptable</w:t>
            </w:r>
          </w:p>
        </w:tc>
      </w:tr>
      <w:tr w:rsidR="00523FB1" w:rsidRPr="00F16B6D" w14:paraId="2D4DECD4" w14:textId="77777777" w:rsidTr="00F16B6D">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E1F9819" w14:textId="77777777" w:rsidR="00523FB1" w:rsidRPr="00F16B6D" w:rsidRDefault="00000000" w:rsidP="00AA6807">
            <w:pPr>
              <w:spacing w:line="360" w:lineRule="auto"/>
              <w:rPr>
                <w:color w:val="171717" w:themeColor="background2" w:themeShade="1A"/>
              </w:rPr>
            </w:pPr>
            <w:r w:rsidRPr="00F16B6D">
              <w:rPr>
                <w:color w:val="171717" w:themeColor="background2" w:themeShade="1A"/>
                <w:sz w:val="20"/>
                <w:szCs w:val="20"/>
              </w:rPr>
              <w:t>Gifts</w:t>
            </w:r>
          </w:p>
        </w:tc>
        <w:tc>
          <w:tcPr>
            <w:tcW w:w="338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D1AF15D" w14:textId="77777777" w:rsidR="00523FB1" w:rsidRPr="00F16B6D" w:rsidRDefault="00000000" w:rsidP="00AA6807">
            <w:pPr>
              <w:spacing w:line="360" w:lineRule="auto"/>
              <w:rPr>
                <w:color w:val="171717" w:themeColor="background2" w:themeShade="1A"/>
              </w:rPr>
            </w:pPr>
            <w:r w:rsidRPr="00F16B6D">
              <w:rPr>
                <w:color w:val="171717" w:themeColor="background2" w:themeShade="1A"/>
                <w:sz w:val="20"/>
                <w:szCs w:val="20"/>
              </w:rPr>
              <w:t>Branded merchandise, gifts below £50 in value, seasonal gifts</w:t>
            </w:r>
          </w:p>
        </w:tc>
        <w:tc>
          <w:tcPr>
            <w:tcW w:w="338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DAA6769" w14:textId="77777777" w:rsidR="00523FB1" w:rsidRPr="00F16B6D" w:rsidRDefault="00000000" w:rsidP="00AA6807">
            <w:pPr>
              <w:spacing w:line="360" w:lineRule="auto"/>
              <w:rPr>
                <w:color w:val="171717" w:themeColor="background2" w:themeShade="1A"/>
              </w:rPr>
            </w:pPr>
            <w:r w:rsidRPr="00F16B6D">
              <w:rPr>
                <w:color w:val="171717" w:themeColor="background2" w:themeShade="1A"/>
                <w:sz w:val="20"/>
                <w:szCs w:val="20"/>
              </w:rPr>
              <w:t>Cash or cash equivalents, gifts over £50, gifts that create obligation</w:t>
            </w:r>
          </w:p>
        </w:tc>
      </w:tr>
      <w:tr w:rsidR="00523FB1" w:rsidRPr="00F16B6D" w14:paraId="45E6322C" w14:textId="77777777" w:rsidTr="00F16B6D">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1835802" w14:textId="77777777" w:rsidR="00523FB1" w:rsidRPr="00F16B6D" w:rsidRDefault="00000000" w:rsidP="00AA6807">
            <w:pPr>
              <w:spacing w:line="360" w:lineRule="auto"/>
              <w:rPr>
                <w:color w:val="171717" w:themeColor="background2" w:themeShade="1A"/>
              </w:rPr>
            </w:pPr>
            <w:r w:rsidRPr="00F16B6D">
              <w:rPr>
                <w:color w:val="171717" w:themeColor="background2" w:themeShade="1A"/>
                <w:sz w:val="20"/>
                <w:szCs w:val="20"/>
              </w:rPr>
              <w:t>Hospitality</w:t>
            </w:r>
          </w:p>
        </w:tc>
        <w:tc>
          <w:tcPr>
            <w:tcW w:w="338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6D41A25" w14:textId="77777777" w:rsidR="00523FB1" w:rsidRPr="00F16B6D" w:rsidRDefault="00000000" w:rsidP="00AA6807">
            <w:pPr>
              <w:spacing w:line="360" w:lineRule="auto"/>
              <w:rPr>
                <w:color w:val="171717" w:themeColor="background2" w:themeShade="1A"/>
              </w:rPr>
            </w:pPr>
            <w:r w:rsidRPr="00F16B6D">
              <w:rPr>
                <w:color w:val="171717" w:themeColor="background2" w:themeShade="1A"/>
                <w:sz w:val="20"/>
                <w:szCs w:val="20"/>
              </w:rPr>
              <w:t>Working lunches/dinners at reasonable cost, industry events</w:t>
            </w:r>
          </w:p>
        </w:tc>
        <w:tc>
          <w:tcPr>
            <w:tcW w:w="338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1FBD9FA" w14:textId="77777777" w:rsidR="00523FB1" w:rsidRPr="00F16B6D" w:rsidRDefault="00000000" w:rsidP="00AA6807">
            <w:pPr>
              <w:spacing w:line="360" w:lineRule="auto"/>
              <w:rPr>
                <w:color w:val="171717" w:themeColor="background2" w:themeShade="1A"/>
              </w:rPr>
            </w:pPr>
            <w:r w:rsidRPr="00F16B6D">
              <w:rPr>
                <w:color w:val="171717" w:themeColor="background2" w:themeShade="1A"/>
                <w:sz w:val="20"/>
                <w:szCs w:val="20"/>
              </w:rPr>
              <w:t>Lavish entertainment, overseas trips, hospitality to influence a decision</w:t>
            </w:r>
          </w:p>
        </w:tc>
      </w:tr>
      <w:tr w:rsidR="00523FB1" w:rsidRPr="00F16B6D" w14:paraId="7EEC8B5D" w14:textId="77777777" w:rsidTr="00F16B6D">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B1FA078" w14:textId="77777777" w:rsidR="00523FB1" w:rsidRPr="00F16B6D" w:rsidRDefault="00000000" w:rsidP="00AA6807">
            <w:pPr>
              <w:spacing w:line="360" w:lineRule="auto"/>
              <w:rPr>
                <w:color w:val="171717" w:themeColor="background2" w:themeShade="1A"/>
              </w:rPr>
            </w:pPr>
            <w:r w:rsidRPr="00F16B6D">
              <w:rPr>
                <w:color w:val="171717" w:themeColor="background2" w:themeShade="1A"/>
                <w:sz w:val="20"/>
                <w:szCs w:val="20"/>
              </w:rPr>
              <w:t>Timing</w:t>
            </w:r>
          </w:p>
        </w:tc>
        <w:tc>
          <w:tcPr>
            <w:tcW w:w="338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75BF74E" w14:textId="77777777" w:rsidR="00523FB1" w:rsidRPr="00F16B6D" w:rsidRDefault="00000000" w:rsidP="00AA6807">
            <w:pPr>
              <w:spacing w:line="360" w:lineRule="auto"/>
              <w:rPr>
                <w:color w:val="171717" w:themeColor="background2" w:themeShade="1A"/>
              </w:rPr>
            </w:pPr>
            <w:r w:rsidRPr="00F16B6D">
              <w:rPr>
                <w:color w:val="171717" w:themeColor="background2" w:themeShade="1A"/>
                <w:sz w:val="20"/>
                <w:szCs w:val="20"/>
              </w:rPr>
              <w:t>Gifts unrelated to procurement/tender processes</w:t>
            </w:r>
          </w:p>
        </w:tc>
        <w:tc>
          <w:tcPr>
            <w:tcW w:w="338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E2B51C4" w14:textId="77777777" w:rsidR="00523FB1" w:rsidRPr="00F16B6D" w:rsidRDefault="00000000" w:rsidP="00AA6807">
            <w:pPr>
              <w:spacing w:line="360" w:lineRule="auto"/>
              <w:rPr>
                <w:color w:val="171717" w:themeColor="background2" w:themeShade="1A"/>
              </w:rPr>
            </w:pPr>
            <w:r w:rsidRPr="00F16B6D">
              <w:rPr>
                <w:color w:val="171717" w:themeColor="background2" w:themeShade="1A"/>
                <w:sz w:val="20"/>
                <w:szCs w:val="20"/>
              </w:rPr>
              <w:t>Gifts offered during tender or contract award processes</w:t>
            </w:r>
          </w:p>
        </w:tc>
      </w:tr>
    </w:tbl>
    <w:p w14:paraId="53AB73B5" w14:textId="77777777" w:rsidR="00523FB1" w:rsidRPr="00F16B6D" w:rsidRDefault="00523FB1" w:rsidP="00AA6807">
      <w:pPr>
        <w:spacing w:before="80" w:line="360" w:lineRule="auto"/>
        <w:rPr>
          <w:color w:val="171717" w:themeColor="background2" w:themeShade="1A"/>
        </w:rPr>
      </w:pPr>
    </w:p>
    <w:p w14:paraId="7382C995" w14:textId="77777777" w:rsidR="00523FB1" w:rsidRPr="00F16B6D" w:rsidRDefault="00000000" w:rsidP="00AA6807">
      <w:pPr>
        <w:spacing w:before="280" w:after="80" w:line="360" w:lineRule="auto"/>
        <w:rPr>
          <w:color w:val="171717" w:themeColor="background2" w:themeShade="1A"/>
        </w:rPr>
      </w:pPr>
      <w:r w:rsidRPr="00F16B6D">
        <w:rPr>
          <w:b/>
          <w:bCs/>
          <w:color w:val="171717" w:themeColor="background2" w:themeShade="1A"/>
          <w:sz w:val="26"/>
          <w:szCs w:val="26"/>
        </w:rPr>
        <w:t>5. Prohibited Conduct</w:t>
      </w:r>
    </w:p>
    <w:p w14:paraId="7B7C495E" w14:textId="77777777" w:rsidR="00523FB1" w:rsidRPr="00F16B6D" w:rsidRDefault="00000000" w:rsidP="00AA6807">
      <w:pPr>
        <w:pStyle w:val="ListParagraph"/>
        <w:numPr>
          <w:ilvl w:val="0"/>
          <w:numId w:val="2"/>
        </w:numPr>
        <w:spacing w:before="40" w:after="40" w:line="360" w:lineRule="auto"/>
        <w:rPr>
          <w:color w:val="171717" w:themeColor="background2" w:themeShade="1A"/>
        </w:rPr>
      </w:pPr>
      <w:r w:rsidRPr="00F16B6D">
        <w:rPr>
          <w:color w:val="171717" w:themeColor="background2" w:themeShade="1A"/>
        </w:rPr>
        <w:t>Making or accepting any payment or providing any other benefit to secure a business advantage</w:t>
      </w:r>
    </w:p>
    <w:p w14:paraId="6A179F3F" w14:textId="77777777" w:rsidR="00523FB1" w:rsidRPr="00F16B6D" w:rsidRDefault="00000000" w:rsidP="00AA6807">
      <w:pPr>
        <w:pStyle w:val="ListParagraph"/>
        <w:numPr>
          <w:ilvl w:val="0"/>
          <w:numId w:val="2"/>
        </w:numPr>
        <w:spacing w:before="40" w:after="40" w:line="360" w:lineRule="auto"/>
        <w:rPr>
          <w:color w:val="171717" w:themeColor="background2" w:themeShade="1A"/>
        </w:rPr>
      </w:pPr>
      <w:r w:rsidRPr="00F16B6D">
        <w:rPr>
          <w:color w:val="171717" w:themeColor="background2" w:themeShade="1A"/>
        </w:rPr>
        <w:t>Using a third party to offer a bribe on our behalf</w:t>
      </w:r>
    </w:p>
    <w:p w14:paraId="274516B8" w14:textId="77777777" w:rsidR="00523FB1" w:rsidRPr="00F16B6D" w:rsidRDefault="00000000" w:rsidP="00AA6807">
      <w:pPr>
        <w:pStyle w:val="ListParagraph"/>
        <w:numPr>
          <w:ilvl w:val="0"/>
          <w:numId w:val="2"/>
        </w:numPr>
        <w:spacing w:before="40" w:after="40" w:line="360" w:lineRule="auto"/>
        <w:rPr>
          <w:color w:val="171717" w:themeColor="background2" w:themeShade="1A"/>
        </w:rPr>
      </w:pPr>
      <w:r w:rsidRPr="00F16B6D">
        <w:rPr>
          <w:color w:val="171717" w:themeColor="background2" w:themeShade="1A"/>
        </w:rPr>
        <w:t>Making any payment to a government official to expedite routine services</w:t>
      </w:r>
    </w:p>
    <w:p w14:paraId="20855ABA" w14:textId="77777777" w:rsidR="00523FB1" w:rsidRPr="00F16B6D" w:rsidRDefault="00000000" w:rsidP="00AA6807">
      <w:pPr>
        <w:pStyle w:val="ListParagraph"/>
        <w:numPr>
          <w:ilvl w:val="0"/>
          <w:numId w:val="2"/>
        </w:numPr>
        <w:spacing w:before="40" w:after="40" w:line="360" w:lineRule="auto"/>
        <w:rPr>
          <w:color w:val="171717" w:themeColor="background2" w:themeShade="1A"/>
        </w:rPr>
      </w:pPr>
      <w:r w:rsidRPr="00F16B6D">
        <w:rPr>
          <w:color w:val="171717" w:themeColor="background2" w:themeShade="1A"/>
        </w:rPr>
        <w:t>Making any payment or providing any benefit in relation to a public tender process</w:t>
      </w:r>
    </w:p>
    <w:p w14:paraId="36F648CB" w14:textId="77777777" w:rsidR="00523FB1" w:rsidRPr="00F16B6D" w:rsidRDefault="00000000" w:rsidP="00AA6807">
      <w:pPr>
        <w:pStyle w:val="ListParagraph"/>
        <w:numPr>
          <w:ilvl w:val="0"/>
          <w:numId w:val="2"/>
        </w:numPr>
        <w:spacing w:before="40" w:after="40" w:line="360" w:lineRule="auto"/>
        <w:rPr>
          <w:color w:val="171717" w:themeColor="background2" w:themeShade="1A"/>
        </w:rPr>
      </w:pPr>
      <w:r w:rsidRPr="00F16B6D">
        <w:rPr>
          <w:color w:val="171717" w:themeColor="background2" w:themeShade="1A"/>
        </w:rPr>
        <w:t>Failing to report a known or suspected bribe</w:t>
      </w:r>
    </w:p>
    <w:p w14:paraId="21536891" w14:textId="77777777" w:rsidR="00523FB1" w:rsidRPr="00F16B6D" w:rsidRDefault="00000000" w:rsidP="00AA6807">
      <w:pPr>
        <w:pStyle w:val="ListParagraph"/>
        <w:numPr>
          <w:ilvl w:val="0"/>
          <w:numId w:val="2"/>
        </w:numPr>
        <w:spacing w:before="40" w:after="40" w:line="360" w:lineRule="auto"/>
        <w:rPr>
          <w:color w:val="171717" w:themeColor="background2" w:themeShade="1A"/>
        </w:rPr>
      </w:pPr>
      <w:r w:rsidRPr="00F16B6D">
        <w:rPr>
          <w:color w:val="171717" w:themeColor="background2" w:themeShade="1A"/>
        </w:rPr>
        <w:t>Retaliating against anyone who has raised a concern in good faith</w:t>
      </w:r>
    </w:p>
    <w:p w14:paraId="17DF4DD5" w14:textId="77777777" w:rsidR="00523FB1" w:rsidRPr="00F16B6D" w:rsidRDefault="00000000" w:rsidP="00AA6807">
      <w:pPr>
        <w:spacing w:before="280" w:after="80" w:line="360" w:lineRule="auto"/>
        <w:rPr>
          <w:color w:val="171717" w:themeColor="background2" w:themeShade="1A"/>
        </w:rPr>
      </w:pPr>
      <w:r w:rsidRPr="00F16B6D">
        <w:rPr>
          <w:b/>
          <w:bCs/>
          <w:color w:val="171717" w:themeColor="background2" w:themeShade="1A"/>
          <w:sz w:val="26"/>
          <w:szCs w:val="26"/>
        </w:rPr>
        <w:lastRenderedPageBreak/>
        <w:t>6. Record Keeping</w:t>
      </w:r>
    </w:p>
    <w:p w14:paraId="6CB99EF8" w14:textId="77777777" w:rsidR="00523FB1" w:rsidRPr="00F16B6D" w:rsidRDefault="00000000" w:rsidP="00AA6807">
      <w:pPr>
        <w:spacing w:before="80" w:after="80" w:line="360" w:lineRule="auto"/>
        <w:rPr>
          <w:color w:val="171717" w:themeColor="background2" w:themeShade="1A"/>
        </w:rPr>
      </w:pPr>
      <w:r w:rsidRPr="00F16B6D">
        <w:rPr>
          <w:color w:val="171717" w:themeColor="background2" w:themeShade="1A"/>
        </w:rPr>
        <w:t>We must keep accurate financial records and have appropriate internal controls in place which evidence the business reason for making payments to third parties. All staff must ensure that all expenses claims relating to hospitality, gifts or expenses incurred to third parties are submitted in accordance with our expenses policy and specifically record the reason for the expenditure.</w:t>
      </w:r>
    </w:p>
    <w:p w14:paraId="281491F2" w14:textId="77777777" w:rsidR="00523FB1" w:rsidRPr="00F16B6D" w:rsidRDefault="00000000" w:rsidP="00AA6807">
      <w:pPr>
        <w:spacing w:before="280" w:after="80" w:line="360" w:lineRule="auto"/>
        <w:rPr>
          <w:color w:val="171717" w:themeColor="background2" w:themeShade="1A"/>
        </w:rPr>
      </w:pPr>
      <w:r w:rsidRPr="00F16B6D">
        <w:rPr>
          <w:b/>
          <w:bCs/>
          <w:color w:val="171717" w:themeColor="background2" w:themeShade="1A"/>
          <w:sz w:val="26"/>
          <w:szCs w:val="26"/>
        </w:rPr>
        <w:t>7. Reporting and Whistleblowing</w:t>
      </w:r>
    </w:p>
    <w:p w14:paraId="382FC283" w14:textId="77777777" w:rsidR="00523FB1" w:rsidRPr="00F16B6D" w:rsidRDefault="00000000" w:rsidP="00AA6807">
      <w:pPr>
        <w:spacing w:before="80" w:after="80" w:line="360" w:lineRule="auto"/>
        <w:rPr>
          <w:color w:val="171717" w:themeColor="background2" w:themeShade="1A"/>
        </w:rPr>
      </w:pPr>
      <w:r w:rsidRPr="00F16B6D">
        <w:rPr>
          <w:color w:val="171717" w:themeColor="background2" w:themeShade="1A"/>
        </w:rPr>
        <w:t>Employees must notify their manager or the policy owner as soon as possible if they believe or suspect that a conflict with this policy has occurred, or may occur in the future. If you are offered a bribe, are asked to make one, suspect that this may happen in the future, or believe that you are a victim of another form of unlawful activity, you must report it.</w:t>
      </w:r>
    </w:p>
    <w:p w14:paraId="1B45EE03" w14:textId="77777777" w:rsidR="00523FB1" w:rsidRPr="00F16B6D" w:rsidRDefault="00000000" w:rsidP="00AA6807">
      <w:pPr>
        <w:spacing w:before="80" w:after="80" w:line="360" w:lineRule="auto"/>
        <w:rPr>
          <w:color w:val="171717" w:themeColor="background2" w:themeShade="1A"/>
        </w:rPr>
      </w:pPr>
      <w:r w:rsidRPr="00F16B6D">
        <w:rPr>
          <w:color w:val="171717" w:themeColor="background2" w:themeShade="1A"/>
        </w:rPr>
        <w:t>We are committed to protecting those who raise concerns from any detrimental treatment. Raising a concern is not a disciplinary matter.</w:t>
      </w:r>
    </w:p>
    <w:p w14:paraId="64C8BB6F" w14:textId="77777777" w:rsidR="00523FB1" w:rsidRPr="00F16B6D" w:rsidRDefault="00000000" w:rsidP="00AA6807">
      <w:pPr>
        <w:spacing w:before="280" w:after="80" w:line="360" w:lineRule="auto"/>
        <w:rPr>
          <w:color w:val="171717" w:themeColor="background2" w:themeShade="1A"/>
        </w:rPr>
      </w:pPr>
      <w:r w:rsidRPr="00F16B6D">
        <w:rPr>
          <w:b/>
          <w:bCs/>
          <w:color w:val="171717" w:themeColor="background2" w:themeShade="1A"/>
          <w:sz w:val="26"/>
          <w:szCs w:val="26"/>
        </w:rPr>
        <w:t>8. Monitoring and Review</w:t>
      </w:r>
    </w:p>
    <w:p w14:paraId="03CB8312" w14:textId="77777777" w:rsidR="00523FB1" w:rsidRPr="00F16B6D" w:rsidRDefault="00000000" w:rsidP="00AA6807">
      <w:pPr>
        <w:spacing w:before="80" w:after="80" w:line="360" w:lineRule="auto"/>
        <w:rPr>
          <w:color w:val="171717" w:themeColor="background2" w:themeShade="1A"/>
        </w:rPr>
      </w:pPr>
      <w:r w:rsidRPr="00F16B6D">
        <w:rPr>
          <w:color w:val="171717" w:themeColor="background2" w:themeShade="1A"/>
        </w:rPr>
        <w:t>The board of directors has overall responsibility for this policy. Management at all levels is responsible for ensuring those reporting to them understand and comply with this policy. Internal control systems and procedures will be subject to regular audits to provide assurance that they are effective in countering bribery and corruption. This policy will be reviewed annually.</w:t>
      </w:r>
    </w:p>
    <w:p w14:paraId="316FF2AD" w14:textId="77777777" w:rsidR="00523FB1" w:rsidRPr="00F16B6D" w:rsidRDefault="00523FB1" w:rsidP="00AA6807">
      <w:pPr>
        <w:spacing w:before="400" w:line="360" w:lineRule="auto"/>
        <w:rPr>
          <w:color w:val="171717" w:themeColor="background2" w:themeShade="1A"/>
        </w:rPr>
      </w:pPr>
    </w:p>
    <w:p w14:paraId="2EBDA5F9" w14:textId="34ABD255" w:rsidR="00523FB1" w:rsidRPr="00F16B6D" w:rsidRDefault="00523FB1" w:rsidP="00AA6807">
      <w:pPr>
        <w:spacing w:after="100" w:line="360" w:lineRule="auto"/>
        <w:rPr>
          <w:color w:val="171717" w:themeColor="background2" w:themeShade="1A"/>
        </w:rPr>
      </w:pPr>
    </w:p>
    <w:p w14:paraId="656EE2A1" w14:textId="77777777" w:rsidR="00A93610" w:rsidRPr="00F16B6D" w:rsidRDefault="00A93610" w:rsidP="00AA6807">
      <w:pPr>
        <w:spacing w:line="360" w:lineRule="auto"/>
        <w:rPr>
          <w:color w:val="171717" w:themeColor="background2" w:themeShade="1A"/>
        </w:rPr>
      </w:pPr>
    </w:p>
    <w:sectPr w:rsidR="00A93610" w:rsidRPr="00F16B6D" w:rsidSect="00F16B6D">
      <w:headerReference w:type="default" r:id="rId8"/>
      <w:footerReference w:type="default" r:id="rId9"/>
      <w:pgSz w:w="11906" w:h="16838"/>
      <w:pgMar w:top="1134" w:right="1134" w:bottom="1134" w:left="113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26008" w14:textId="77777777" w:rsidR="00A93610" w:rsidRDefault="00A93610">
      <w:r>
        <w:separator/>
      </w:r>
    </w:p>
  </w:endnote>
  <w:endnote w:type="continuationSeparator" w:id="0">
    <w:p w14:paraId="37D39D14" w14:textId="77777777" w:rsidR="00A93610" w:rsidRDefault="00A9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7E17" w14:textId="77777777" w:rsidR="00523FB1" w:rsidRDefault="00000000" w:rsidP="00F16B6D">
    <w:pPr>
      <w:spacing w:before="100"/>
      <w:jc w:val="center"/>
    </w:pPr>
    <w:proofErr w:type="spellStart"/>
    <w:r>
      <w:rPr>
        <w:color w:val="555555"/>
        <w:sz w:val="18"/>
        <w:szCs w:val="18"/>
      </w:rPr>
      <w:t>Haarty</w:t>
    </w:r>
    <w:proofErr w:type="spellEnd"/>
    <w:r>
      <w:rPr>
        <w:color w:val="555555"/>
        <w:sz w:val="18"/>
        <w:szCs w:val="18"/>
      </w:rPr>
      <w:t xml:space="preserve"> Hanks | Policy HH-002 | Confidential | Page </w:t>
    </w:r>
    <w:r>
      <w:rPr>
        <w:color w:val="555555"/>
        <w:sz w:val="18"/>
        <w:szCs w:val="18"/>
      </w:rPr>
      <w:fldChar w:fldCharType="begin"/>
    </w:r>
    <w:r>
      <w:rPr>
        <w:color w:val="555555"/>
        <w:sz w:val="18"/>
        <w:szCs w:val="18"/>
      </w:rPr>
      <w:instrText>PAGE</w:instrText>
    </w:r>
    <w:r>
      <w:rPr>
        <w:color w:val="555555"/>
        <w:sz w:val="18"/>
        <w:szCs w:val="18"/>
      </w:rPr>
      <w:fldChar w:fldCharType="separate"/>
    </w:r>
    <w:r w:rsidR="00F16B6D">
      <w:rPr>
        <w:noProof/>
        <w:color w:val="555555"/>
        <w:sz w:val="18"/>
        <w:szCs w:val="18"/>
      </w:rPr>
      <w:t>1</w:t>
    </w:r>
    <w:r>
      <w:rPr>
        <w:color w:val="555555"/>
        <w:sz w:val="18"/>
        <w:szCs w:val="18"/>
      </w:rPr>
      <w:fldChar w:fldCharType="end"/>
    </w:r>
    <w:r>
      <w:rPr>
        <w:color w:val="555555"/>
        <w:sz w:val="18"/>
        <w:szCs w:val="18"/>
      </w:rPr>
      <w:t xml:space="preserve"> of </w:t>
    </w:r>
    <w:r>
      <w:rPr>
        <w:color w:val="555555"/>
        <w:sz w:val="18"/>
        <w:szCs w:val="18"/>
      </w:rPr>
      <w:fldChar w:fldCharType="begin"/>
    </w:r>
    <w:r>
      <w:rPr>
        <w:color w:val="555555"/>
        <w:sz w:val="18"/>
        <w:szCs w:val="18"/>
      </w:rPr>
      <w:instrText>NUMPAGES</w:instrText>
    </w:r>
    <w:r>
      <w:rPr>
        <w:color w:val="555555"/>
        <w:sz w:val="18"/>
        <w:szCs w:val="18"/>
      </w:rPr>
      <w:fldChar w:fldCharType="separate"/>
    </w:r>
    <w:r w:rsidR="00F16B6D">
      <w:rPr>
        <w:noProof/>
        <w:color w:val="555555"/>
        <w:sz w:val="18"/>
        <w:szCs w:val="18"/>
      </w:rPr>
      <w:t>2</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D070" w14:textId="77777777" w:rsidR="00A93610" w:rsidRDefault="00A93610">
      <w:r>
        <w:separator/>
      </w:r>
    </w:p>
  </w:footnote>
  <w:footnote w:type="continuationSeparator" w:id="0">
    <w:p w14:paraId="3ACE56D8" w14:textId="77777777" w:rsidR="00A93610" w:rsidRDefault="00A93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EAB4" w14:textId="77777777" w:rsidR="00523FB1" w:rsidRDefault="00000000" w:rsidP="00F16B6D">
    <w:pPr>
      <w:spacing w:after="100"/>
      <w:jc w:val="center"/>
    </w:pPr>
    <w:proofErr w:type="spellStart"/>
    <w:r>
      <w:rPr>
        <w:color w:val="555555"/>
        <w:sz w:val="18"/>
        <w:szCs w:val="18"/>
      </w:rPr>
      <w:t>Haarty</w:t>
    </w:r>
    <w:proofErr w:type="spellEnd"/>
    <w:r>
      <w:rPr>
        <w:color w:val="555555"/>
        <w:sz w:val="18"/>
        <w:szCs w:val="18"/>
      </w:rPr>
      <w:t xml:space="preserve"> </w:t>
    </w:r>
    <w:proofErr w:type="gramStart"/>
    <w:r>
      <w:rPr>
        <w:color w:val="555555"/>
        <w:sz w:val="18"/>
        <w:szCs w:val="18"/>
      </w:rPr>
      <w:t>Hanks  |</w:t>
    </w:r>
    <w:proofErr w:type="gramEnd"/>
    <w:r>
      <w:rPr>
        <w:color w:val="555555"/>
        <w:sz w:val="18"/>
        <w:szCs w:val="18"/>
      </w:rPr>
      <w:t xml:space="preserve">  Anti-Bribery &amp; Corruption </w:t>
    </w:r>
    <w:proofErr w:type="gramStart"/>
    <w:r>
      <w:rPr>
        <w:color w:val="555555"/>
        <w:sz w:val="18"/>
        <w:szCs w:val="18"/>
      </w:rPr>
      <w:t>Policy  |</w:t>
    </w:r>
    <w:proofErr w:type="gramEnd"/>
    <w:r>
      <w:rPr>
        <w:color w:val="555555"/>
        <w:sz w:val="18"/>
        <w:szCs w:val="18"/>
      </w:rPr>
      <w:t xml:space="preserve">  </w:t>
    </w:r>
    <w:r>
      <w:rPr>
        <w:color w:val="2E6DA4"/>
        <w:sz w:val="18"/>
        <w:szCs w:val="18"/>
      </w:rPr>
      <w:t>www.haartyhanks.com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A470D"/>
    <w:multiLevelType w:val="hybridMultilevel"/>
    <w:tmpl w:val="F2C86BCA"/>
    <w:lvl w:ilvl="0" w:tplc="B5527F8C">
      <w:start w:val="1"/>
      <w:numFmt w:val="bullet"/>
      <w:lvlText w:val="●"/>
      <w:lvlJc w:val="left"/>
      <w:pPr>
        <w:ind w:left="720" w:hanging="360"/>
      </w:pPr>
    </w:lvl>
    <w:lvl w:ilvl="1" w:tplc="A4F4A258">
      <w:start w:val="1"/>
      <w:numFmt w:val="bullet"/>
      <w:lvlText w:val="○"/>
      <w:lvlJc w:val="left"/>
      <w:pPr>
        <w:ind w:left="1440" w:hanging="360"/>
      </w:pPr>
    </w:lvl>
    <w:lvl w:ilvl="2" w:tplc="A84CE674">
      <w:start w:val="1"/>
      <w:numFmt w:val="bullet"/>
      <w:lvlText w:val="■"/>
      <w:lvlJc w:val="left"/>
      <w:pPr>
        <w:ind w:left="2160" w:hanging="360"/>
      </w:pPr>
    </w:lvl>
    <w:lvl w:ilvl="3" w:tplc="77C8AC8E">
      <w:start w:val="1"/>
      <w:numFmt w:val="bullet"/>
      <w:lvlText w:val="●"/>
      <w:lvlJc w:val="left"/>
      <w:pPr>
        <w:ind w:left="2880" w:hanging="360"/>
      </w:pPr>
    </w:lvl>
    <w:lvl w:ilvl="4" w:tplc="51B4F2A2">
      <w:start w:val="1"/>
      <w:numFmt w:val="bullet"/>
      <w:lvlText w:val="○"/>
      <w:lvlJc w:val="left"/>
      <w:pPr>
        <w:ind w:left="3600" w:hanging="360"/>
      </w:pPr>
    </w:lvl>
    <w:lvl w:ilvl="5" w:tplc="B2A63A0C">
      <w:start w:val="1"/>
      <w:numFmt w:val="bullet"/>
      <w:lvlText w:val="■"/>
      <w:lvlJc w:val="left"/>
      <w:pPr>
        <w:ind w:left="4320" w:hanging="360"/>
      </w:pPr>
    </w:lvl>
    <w:lvl w:ilvl="6" w:tplc="546623F2">
      <w:start w:val="1"/>
      <w:numFmt w:val="bullet"/>
      <w:lvlText w:val="●"/>
      <w:lvlJc w:val="left"/>
      <w:pPr>
        <w:ind w:left="5040" w:hanging="360"/>
      </w:pPr>
    </w:lvl>
    <w:lvl w:ilvl="7" w:tplc="7A3E0956">
      <w:start w:val="1"/>
      <w:numFmt w:val="bullet"/>
      <w:lvlText w:val="●"/>
      <w:lvlJc w:val="left"/>
      <w:pPr>
        <w:ind w:left="5760" w:hanging="360"/>
      </w:pPr>
    </w:lvl>
    <w:lvl w:ilvl="8" w:tplc="AB487E24">
      <w:start w:val="1"/>
      <w:numFmt w:val="bullet"/>
      <w:lvlText w:val="●"/>
      <w:lvlJc w:val="left"/>
      <w:pPr>
        <w:ind w:left="6480" w:hanging="360"/>
      </w:pPr>
    </w:lvl>
  </w:abstractNum>
  <w:abstractNum w:abstractNumId="1" w15:restartNumberingAfterBreak="0">
    <w:nsid w:val="622900D6"/>
    <w:multiLevelType w:val="hybridMultilevel"/>
    <w:tmpl w:val="741EFFDC"/>
    <w:lvl w:ilvl="0" w:tplc="3B2A1086">
      <w:start w:val="1"/>
      <w:numFmt w:val="bullet"/>
      <w:lvlText w:val="•"/>
      <w:lvlJc w:val="left"/>
      <w:pPr>
        <w:ind w:left="720" w:hanging="360"/>
      </w:pPr>
    </w:lvl>
    <w:lvl w:ilvl="1" w:tplc="2F483800">
      <w:numFmt w:val="decimal"/>
      <w:lvlText w:val=""/>
      <w:lvlJc w:val="left"/>
    </w:lvl>
    <w:lvl w:ilvl="2" w:tplc="BFEE9AB4">
      <w:numFmt w:val="decimal"/>
      <w:lvlText w:val=""/>
      <w:lvlJc w:val="left"/>
    </w:lvl>
    <w:lvl w:ilvl="3" w:tplc="64F46EA0">
      <w:numFmt w:val="decimal"/>
      <w:lvlText w:val=""/>
      <w:lvlJc w:val="left"/>
    </w:lvl>
    <w:lvl w:ilvl="4" w:tplc="7D0243F8">
      <w:numFmt w:val="decimal"/>
      <w:lvlText w:val=""/>
      <w:lvlJc w:val="left"/>
    </w:lvl>
    <w:lvl w:ilvl="5" w:tplc="D5CEE8A0">
      <w:numFmt w:val="decimal"/>
      <w:lvlText w:val=""/>
      <w:lvlJc w:val="left"/>
    </w:lvl>
    <w:lvl w:ilvl="6" w:tplc="E8163C0E">
      <w:numFmt w:val="decimal"/>
      <w:lvlText w:val=""/>
      <w:lvlJc w:val="left"/>
    </w:lvl>
    <w:lvl w:ilvl="7" w:tplc="549C78F4">
      <w:numFmt w:val="decimal"/>
      <w:lvlText w:val=""/>
      <w:lvlJc w:val="left"/>
    </w:lvl>
    <w:lvl w:ilvl="8" w:tplc="A5FAFEB8">
      <w:numFmt w:val="decimal"/>
      <w:lvlText w:val=""/>
      <w:lvlJc w:val="left"/>
    </w:lvl>
  </w:abstractNum>
  <w:num w:numId="1" w16cid:durableId="874390493">
    <w:abstractNumId w:val="0"/>
    <w:lvlOverride w:ilvl="0">
      <w:startOverride w:val="1"/>
    </w:lvlOverride>
  </w:num>
  <w:num w:numId="2" w16cid:durableId="55667033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FB1"/>
    <w:rsid w:val="00523FB1"/>
    <w:rsid w:val="00826357"/>
    <w:rsid w:val="00826BE0"/>
    <w:rsid w:val="00A93610"/>
    <w:rsid w:val="00AA6807"/>
    <w:rsid w:val="00AE6D70"/>
    <w:rsid w:val="00F16B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0A48"/>
  <w15:docId w15:val="{CBF1C99D-4031-4817-A312-FCB962A1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16B6D"/>
    <w:pPr>
      <w:tabs>
        <w:tab w:val="center" w:pos="4513"/>
        <w:tab w:val="right" w:pos="9026"/>
      </w:tabs>
    </w:pPr>
  </w:style>
  <w:style w:type="character" w:customStyle="1" w:styleId="HeaderChar">
    <w:name w:val="Header Char"/>
    <w:basedOn w:val="DefaultParagraphFont"/>
    <w:link w:val="Header"/>
    <w:uiPriority w:val="99"/>
    <w:rsid w:val="00F16B6D"/>
  </w:style>
  <w:style w:type="paragraph" w:styleId="Footer">
    <w:name w:val="footer"/>
    <w:basedOn w:val="Normal"/>
    <w:link w:val="FooterChar"/>
    <w:uiPriority w:val="99"/>
    <w:unhideWhenUsed/>
    <w:rsid w:val="00F16B6D"/>
    <w:pPr>
      <w:tabs>
        <w:tab w:val="center" w:pos="4513"/>
        <w:tab w:val="right" w:pos="9026"/>
      </w:tabs>
    </w:pPr>
  </w:style>
  <w:style w:type="character" w:customStyle="1" w:styleId="FooterChar">
    <w:name w:val="Footer Char"/>
    <w:basedOn w:val="DefaultParagraphFont"/>
    <w:link w:val="Footer"/>
    <w:uiPriority w:val="99"/>
    <w:rsid w:val="00F16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Rajat Bhagwat</cp:lastModifiedBy>
  <cp:revision>2</cp:revision>
  <dcterms:created xsi:type="dcterms:W3CDTF">2026-05-25T11:57:00Z</dcterms:created>
  <dcterms:modified xsi:type="dcterms:W3CDTF">2026-05-25T11:57:00Z</dcterms:modified>
</cp:coreProperties>
</file>