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AF01" w14:textId="77777777" w:rsidR="00A76D04" w:rsidRPr="00601446" w:rsidRDefault="00A76D04" w:rsidP="00601446">
      <w:pPr>
        <w:spacing w:line="360" w:lineRule="auto"/>
        <w:rPr>
          <w:color w:val="171717" w:themeColor="background2" w:themeShade="1A"/>
        </w:rPr>
      </w:pPr>
    </w:p>
    <w:p w14:paraId="6BE56831" w14:textId="77777777" w:rsidR="00A76D04" w:rsidRPr="00601446" w:rsidRDefault="00000000" w:rsidP="00601446">
      <w:pPr>
        <w:spacing w:before="120" w:after="60" w:line="360" w:lineRule="auto"/>
        <w:jc w:val="right"/>
        <w:rPr>
          <w:color w:val="171717" w:themeColor="background2" w:themeShade="1A"/>
        </w:rPr>
      </w:pPr>
      <w:r w:rsidRPr="00601446">
        <w:rPr>
          <w:color w:val="171717" w:themeColor="background2" w:themeShade="1A"/>
          <w:sz w:val="18"/>
          <w:szCs w:val="18"/>
        </w:rPr>
        <w:t>Policy Reference: HH-003 | Version 1.0 | May 2025</w:t>
      </w:r>
    </w:p>
    <w:p w14:paraId="504CF746" w14:textId="77777777" w:rsidR="00601446" w:rsidRPr="00601446" w:rsidRDefault="00601446" w:rsidP="00601446">
      <w:pPr>
        <w:spacing w:after="80" w:line="360" w:lineRule="auto"/>
        <w:jc w:val="center"/>
        <w:rPr>
          <w:b/>
          <w:bCs/>
          <w:color w:val="171717" w:themeColor="background2" w:themeShade="1A"/>
          <w:sz w:val="40"/>
          <w:szCs w:val="40"/>
        </w:rPr>
      </w:pPr>
      <w:r w:rsidRPr="00601446">
        <w:rPr>
          <w:noProof/>
          <w:color w:val="171717" w:themeColor="background2" w:themeShade="1A"/>
        </w:rPr>
        <w:drawing>
          <wp:inline distT="0" distB="0" distL="0" distR="0" wp14:anchorId="6D5741B7" wp14:editId="29939EC3">
            <wp:extent cx="1756957" cy="1225550"/>
            <wp:effectExtent l="0" t="0" r="0" b="0"/>
            <wp:docPr id="2021528591" name="Picture 1" descr="A logo with white letters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28591" name="Picture 1" descr="A logo with white letters and yellow circ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591" cy="1239246"/>
                    </a:xfrm>
                    <a:prstGeom prst="rect">
                      <a:avLst/>
                    </a:prstGeom>
                  </pic:spPr>
                </pic:pic>
              </a:graphicData>
            </a:graphic>
          </wp:inline>
        </w:drawing>
      </w:r>
    </w:p>
    <w:p w14:paraId="20AD1777" w14:textId="03D2FD52" w:rsidR="00A76D04" w:rsidRPr="00601446" w:rsidRDefault="00000000" w:rsidP="00601446">
      <w:pPr>
        <w:spacing w:after="80" w:line="360" w:lineRule="auto"/>
        <w:jc w:val="center"/>
        <w:rPr>
          <w:color w:val="171717" w:themeColor="background2" w:themeShade="1A"/>
        </w:rPr>
      </w:pPr>
      <w:r w:rsidRPr="00601446">
        <w:rPr>
          <w:b/>
          <w:bCs/>
          <w:color w:val="171717" w:themeColor="background2" w:themeShade="1A"/>
          <w:sz w:val="40"/>
          <w:szCs w:val="40"/>
        </w:rPr>
        <w:t>Data Protection Policy</w:t>
      </w:r>
    </w:p>
    <w:p w14:paraId="2B69E73B" w14:textId="77777777" w:rsidR="00A76D04" w:rsidRPr="00601446" w:rsidRDefault="00000000" w:rsidP="00601446">
      <w:pPr>
        <w:spacing w:after="300" w:line="360" w:lineRule="auto"/>
        <w:jc w:val="center"/>
        <w:rPr>
          <w:color w:val="171717" w:themeColor="background2" w:themeShade="1A"/>
        </w:rPr>
      </w:pPr>
      <w:r w:rsidRPr="00601446">
        <w:rPr>
          <w:i/>
          <w:iCs/>
          <w:color w:val="171717" w:themeColor="background2" w:themeShade="1A"/>
        </w:rPr>
        <w:t>Our approach to protecting personal data in line with UK GDPR and the Data Protection Act 2018</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256"/>
        <w:gridCol w:w="2256"/>
        <w:gridCol w:w="2257"/>
        <w:gridCol w:w="2257"/>
      </w:tblGrid>
      <w:tr w:rsidR="00A76D04" w:rsidRPr="00601446" w14:paraId="5668F82C" w14:textId="77777777" w:rsidTr="00601446">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8D8825A" w14:textId="77777777" w:rsidR="00A76D04" w:rsidRPr="00601446" w:rsidRDefault="00000000" w:rsidP="00601446">
            <w:pPr>
              <w:spacing w:line="360" w:lineRule="auto"/>
              <w:jc w:val="center"/>
              <w:rPr>
                <w:color w:val="171717" w:themeColor="background2" w:themeShade="1A"/>
              </w:rPr>
            </w:pPr>
            <w:r w:rsidRPr="00601446">
              <w:rPr>
                <w:b/>
                <w:bCs/>
                <w:color w:val="171717" w:themeColor="background2" w:themeShade="1A"/>
                <w:sz w:val="18"/>
                <w:szCs w:val="18"/>
              </w:rPr>
              <w:t>Policy Owner</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50D67D9" w14:textId="77777777" w:rsidR="00A76D04" w:rsidRPr="00601446" w:rsidRDefault="00000000" w:rsidP="00601446">
            <w:pPr>
              <w:spacing w:line="360" w:lineRule="auto"/>
              <w:jc w:val="center"/>
              <w:rPr>
                <w:color w:val="171717" w:themeColor="background2" w:themeShade="1A"/>
              </w:rPr>
            </w:pPr>
            <w:r w:rsidRPr="00601446">
              <w:rPr>
                <w:b/>
                <w:bCs/>
                <w:color w:val="171717" w:themeColor="background2" w:themeShade="1A"/>
                <w:sz w:val="18"/>
                <w:szCs w:val="18"/>
              </w:rPr>
              <w:t>Date Issued</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E55CFAB" w14:textId="77777777" w:rsidR="00A76D04" w:rsidRPr="00601446" w:rsidRDefault="00000000" w:rsidP="00601446">
            <w:pPr>
              <w:spacing w:line="360" w:lineRule="auto"/>
              <w:jc w:val="center"/>
              <w:rPr>
                <w:color w:val="171717" w:themeColor="background2" w:themeShade="1A"/>
              </w:rPr>
            </w:pPr>
            <w:r w:rsidRPr="00601446">
              <w:rPr>
                <w:b/>
                <w:bCs/>
                <w:color w:val="171717" w:themeColor="background2" w:themeShade="1A"/>
                <w:sz w:val="18"/>
                <w:szCs w:val="18"/>
              </w:rPr>
              <w:t>Review Date</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D0C92D0" w14:textId="77777777" w:rsidR="00A76D04" w:rsidRPr="00601446" w:rsidRDefault="00000000" w:rsidP="00601446">
            <w:pPr>
              <w:spacing w:line="360" w:lineRule="auto"/>
              <w:jc w:val="center"/>
              <w:rPr>
                <w:color w:val="171717" w:themeColor="background2" w:themeShade="1A"/>
              </w:rPr>
            </w:pPr>
            <w:r w:rsidRPr="00601446">
              <w:rPr>
                <w:b/>
                <w:bCs/>
                <w:color w:val="171717" w:themeColor="background2" w:themeShade="1A"/>
                <w:sz w:val="18"/>
                <w:szCs w:val="18"/>
              </w:rPr>
              <w:t>Version</w:t>
            </w:r>
          </w:p>
        </w:tc>
      </w:tr>
      <w:tr w:rsidR="00A76D04" w:rsidRPr="00601446" w14:paraId="771BD65C" w14:textId="77777777" w:rsidTr="00601446">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4059C2F" w14:textId="77777777" w:rsidR="00A76D04" w:rsidRPr="00601446" w:rsidRDefault="00000000" w:rsidP="00601446">
            <w:pPr>
              <w:spacing w:line="360" w:lineRule="auto"/>
              <w:jc w:val="center"/>
              <w:rPr>
                <w:color w:val="171717" w:themeColor="background2" w:themeShade="1A"/>
              </w:rPr>
            </w:pPr>
            <w:r w:rsidRPr="00601446">
              <w:rPr>
                <w:color w:val="171717" w:themeColor="background2" w:themeShade="1A"/>
                <w:sz w:val="18"/>
                <w:szCs w:val="18"/>
              </w:rPr>
              <w:t>Senior Management</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64575A4" w14:textId="77777777" w:rsidR="00A76D04" w:rsidRPr="00601446" w:rsidRDefault="00000000" w:rsidP="00601446">
            <w:pPr>
              <w:spacing w:line="360" w:lineRule="auto"/>
              <w:jc w:val="center"/>
              <w:rPr>
                <w:color w:val="171717" w:themeColor="background2" w:themeShade="1A"/>
              </w:rPr>
            </w:pPr>
            <w:r w:rsidRPr="00601446">
              <w:rPr>
                <w:color w:val="171717" w:themeColor="background2" w:themeShade="1A"/>
                <w:sz w:val="18"/>
                <w:szCs w:val="18"/>
              </w:rPr>
              <w:t>May 2025</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1BEE1C2" w14:textId="77777777" w:rsidR="00A76D04" w:rsidRPr="00601446" w:rsidRDefault="00000000" w:rsidP="00601446">
            <w:pPr>
              <w:spacing w:line="360" w:lineRule="auto"/>
              <w:jc w:val="center"/>
              <w:rPr>
                <w:color w:val="171717" w:themeColor="background2" w:themeShade="1A"/>
              </w:rPr>
            </w:pPr>
            <w:r w:rsidRPr="00601446">
              <w:rPr>
                <w:color w:val="171717" w:themeColor="background2" w:themeShade="1A"/>
                <w:sz w:val="18"/>
                <w:szCs w:val="18"/>
              </w:rPr>
              <w:t>May 2026</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2E78666" w14:textId="77777777" w:rsidR="00A76D04" w:rsidRPr="00601446" w:rsidRDefault="00000000" w:rsidP="00601446">
            <w:pPr>
              <w:spacing w:line="360" w:lineRule="auto"/>
              <w:jc w:val="center"/>
              <w:rPr>
                <w:color w:val="171717" w:themeColor="background2" w:themeShade="1A"/>
              </w:rPr>
            </w:pPr>
            <w:r w:rsidRPr="00601446">
              <w:rPr>
                <w:color w:val="171717" w:themeColor="background2" w:themeShade="1A"/>
                <w:sz w:val="18"/>
                <w:szCs w:val="18"/>
              </w:rPr>
              <w:t>1.0</w:t>
            </w:r>
          </w:p>
        </w:tc>
      </w:tr>
    </w:tbl>
    <w:p w14:paraId="01FB896D" w14:textId="77777777" w:rsidR="00A76D04" w:rsidRPr="00601446" w:rsidRDefault="00A76D04" w:rsidP="00601446">
      <w:pPr>
        <w:spacing w:before="320" w:line="360" w:lineRule="auto"/>
        <w:rPr>
          <w:color w:val="171717" w:themeColor="background2" w:themeShade="1A"/>
        </w:rPr>
      </w:pPr>
    </w:p>
    <w:p w14:paraId="29D3D3C5"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t>1. Policy Statement</w:t>
      </w:r>
    </w:p>
    <w:p w14:paraId="3E6FF6C0" w14:textId="77777777" w:rsidR="00A76D04" w:rsidRPr="00601446" w:rsidRDefault="00000000" w:rsidP="00601446">
      <w:pPr>
        <w:spacing w:before="80" w:after="80" w:line="360" w:lineRule="auto"/>
        <w:rPr>
          <w:color w:val="171717" w:themeColor="background2" w:themeShade="1A"/>
        </w:rPr>
      </w:pPr>
      <w:proofErr w:type="spellStart"/>
      <w:r w:rsidRPr="00601446">
        <w:rPr>
          <w:color w:val="171717" w:themeColor="background2" w:themeShade="1A"/>
        </w:rPr>
        <w:t>Haarty</w:t>
      </w:r>
      <w:proofErr w:type="spellEnd"/>
      <w:r w:rsidRPr="00601446">
        <w:rPr>
          <w:color w:val="171717" w:themeColor="background2" w:themeShade="1A"/>
        </w:rPr>
        <w:t xml:space="preserve"> Hanks is committed to processing data in accordance with its responsibilities under the UK General Data Protection Regulation (UK GDPR) and the Data Protection Act 2018. This policy sets out how we seek to protect personal data and ensure that staff understand the rules governing their use of personal data to which they have access in the course of their work.</w:t>
      </w:r>
    </w:p>
    <w:p w14:paraId="6859E77C"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t>2. Scope</w:t>
      </w:r>
    </w:p>
    <w:p w14:paraId="5C1261AD" w14:textId="77777777" w:rsidR="00A76D04" w:rsidRPr="00601446" w:rsidRDefault="00000000" w:rsidP="00601446">
      <w:pPr>
        <w:spacing w:before="80" w:after="80" w:line="360" w:lineRule="auto"/>
        <w:rPr>
          <w:color w:val="171717" w:themeColor="background2" w:themeShade="1A"/>
        </w:rPr>
      </w:pPr>
      <w:r w:rsidRPr="00601446">
        <w:rPr>
          <w:color w:val="171717" w:themeColor="background2" w:themeShade="1A"/>
        </w:rPr>
        <w:t xml:space="preserve">This policy applies to all staff of </w:t>
      </w:r>
      <w:proofErr w:type="spellStart"/>
      <w:r w:rsidRPr="00601446">
        <w:rPr>
          <w:color w:val="171717" w:themeColor="background2" w:themeShade="1A"/>
        </w:rPr>
        <w:t>Haarty</w:t>
      </w:r>
      <w:proofErr w:type="spellEnd"/>
      <w:r w:rsidRPr="00601446">
        <w:rPr>
          <w:color w:val="171717" w:themeColor="background2" w:themeShade="1A"/>
        </w:rPr>
        <w:t xml:space="preserve"> Hanks and covers all data that the company holds relating to identifiable individuals, even if that information technically falls outside of the UK GDPR. This includes the personal data of: customers and clients, employees and job applicants, suppliers and business contacts, and any other individuals whose data is processed in connection with our business activities.</w:t>
      </w:r>
    </w:p>
    <w:p w14:paraId="483A1DB0"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t>3. The Six Data Protection Principles</w:t>
      </w:r>
    </w:p>
    <w:p w14:paraId="7891BBBB" w14:textId="77777777" w:rsidR="00A76D04" w:rsidRPr="00601446" w:rsidRDefault="00000000" w:rsidP="00601446">
      <w:pPr>
        <w:spacing w:before="80" w:after="80" w:line="360" w:lineRule="auto"/>
        <w:rPr>
          <w:color w:val="171717" w:themeColor="background2" w:themeShade="1A"/>
        </w:rPr>
      </w:pPr>
      <w:r w:rsidRPr="00601446">
        <w:rPr>
          <w:color w:val="171717" w:themeColor="background2" w:themeShade="1A"/>
        </w:rPr>
        <w:t>Under the UK GDPR, all personal data must be processed in accordance with the following principles. Personal data must be:</w:t>
      </w:r>
    </w:p>
    <w:p w14:paraId="09DBEA20"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Processed lawfully, fairly and in a transparent manner (Lawfulness, Fairness and Transparency)</w:t>
      </w:r>
    </w:p>
    <w:p w14:paraId="54B18466"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Collected for specified, explicit and legitimate purposes and not further processed in a manner incompatible with those purposes (Purpose Limitation)</w:t>
      </w:r>
    </w:p>
    <w:p w14:paraId="39310E6D"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lastRenderedPageBreak/>
        <w:t>Adequate, relevant and limited to what is necessary in relation to the purposes for which it is processed (Data Minimisation)</w:t>
      </w:r>
    </w:p>
    <w:p w14:paraId="2A034F7B"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Accurate and, where necessary, kept up to date (Accuracy)</w:t>
      </w:r>
    </w:p>
    <w:p w14:paraId="5C0CDA07"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Kept in a form which permits identification of data subjects for no longer than is necessary (Storage Limitation)</w:t>
      </w:r>
    </w:p>
    <w:p w14:paraId="74152F28"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Processed in a manner that ensures appropriate security of personal data (Integrity and Confidentiality)</w:t>
      </w:r>
    </w:p>
    <w:p w14:paraId="6BBF11F5"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t>4. Lawful Basis for Processing</w:t>
      </w:r>
    </w:p>
    <w:p w14:paraId="1C20CABC" w14:textId="77777777" w:rsidR="00A76D04" w:rsidRPr="00601446" w:rsidRDefault="00000000" w:rsidP="00601446">
      <w:pPr>
        <w:spacing w:before="80" w:after="80" w:line="360" w:lineRule="auto"/>
        <w:rPr>
          <w:color w:val="171717" w:themeColor="background2" w:themeShade="1A"/>
        </w:rPr>
      </w:pPr>
      <w:r w:rsidRPr="00601446">
        <w:rPr>
          <w:color w:val="171717" w:themeColor="background2" w:themeShade="1A"/>
        </w:rPr>
        <w:t>We will only process personal data where we have a lawful basis to do so. The lawful bases on which we most commonly rely include:</w:t>
      </w:r>
    </w:p>
    <w:p w14:paraId="310E42F9"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Consent: the data subject has given clear consent for us to process their personal data for a specific purpose</w:t>
      </w:r>
    </w:p>
    <w:p w14:paraId="0B2C1889"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Contract: the processing is necessary for a contract we have with the individual, or because they have asked us to take specific steps before entering into a contract</w:t>
      </w:r>
    </w:p>
    <w:p w14:paraId="35B5FD96"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Legal obligation: the processing is necessary for us to comply with the law</w:t>
      </w:r>
    </w:p>
    <w:p w14:paraId="21CE37B7"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Legitimate interests: the processing is necessary for our legitimate interests or the legitimate interests of a third party</w:t>
      </w:r>
    </w:p>
    <w:p w14:paraId="7F3C213F"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t>5. Individual Rights</w:t>
      </w:r>
    </w:p>
    <w:p w14:paraId="40D46FD0" w14:textId="77777777" w:rsidR="00A76D04" w:rsidRPr="00601446" w:rsidRDefault="00000000" w:rsidP="00601446">
      <w:pPr>
        <w:spacing w:before="80" w:after="80" w:line="360" w:lineRule="auto"/>
        <w:rPr>
          <w:color w:val="171717" w:themeColor="background2" w:themeShade="1A"/>
        </w:rPr>
      </w:pPr>
      <w:r w:rsidRPr="00601446">
        <w:rPr>
          <w:color w:val="171717" w:themeColor="background2" w:themeShade="1A"/>
        </w:rPr>
        <w:t>Under UK GDPR, individuals have the following rights: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6"/>
        <w:gridCol w:w="6320"/>
      </w:tblGrid>
      <w:tr w:rsidR="00A76D04" w:rsidRPr="00601446" w14:paraId="09B2627F" w14:textId="77777777" w:rsidTr="00601446">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0D25734" w14:textId="77777777" w:rsidR="00A76D04" w:rsidRPr="00601446" w:rsidRDefault="00000000" w:rsidP="00601446">
            <w:pPr>
              <w:spacing w:line="360" w:lineRule="auto"/>
              <w:rPr>
                <w:color w:val="171717" w:themeColor="background2" w:themeShade="1A"/>
              </w:rPr>
            </w:pPr>
            <w:r w:rsidRPr="00601446">
              <w:rPr>
                <w:b/>
                <w:bCs/>
                <w:color w:val="171717" w:themeColor="background2" w:themeShade="1A"/>
                <w:sz w:val="20"/>
                <w:szCs w:val="20"/>
              </w:rPr>
              <w:t>Right</w:t>
            </w:r>
          </w:p>
        </w:tc>
        <w:tc>
          <w:tcPr>
            <w:tcW w:w="632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683B2A" w14:textId="77777777" w:rsidR="00A76D04" w:rsidRPr="00601446" w:rsidRDefault="00000000" w:rsidP="00601446">
            <w:pPr>
              <w:spacing w:line="360" w:lineRule="auto"/>
              <w:rPr>
                <w:color w:val="171717" w:themeColor="background2" w:themeShade="1A"/>
              </w:rPr>
            </w:pPr>
            <w:r w:rsidRPr="00601446">
              <w:rPr>
                <w:b/>
                <w:bCs/>
                <w:color w:val="171717" w:themeColor="background2" w:themeShade="1A"/>
                <w:sz w:val="20"/>
                <w:szCs w:val="20"/>
              </w:rPr>
              <w:t>Description</w:t>
            </w:r>
          </w:p>
        </w:tc>
      </w:tr>
      <w:tr w:rsidR="00A76D04" w:rsidRPr="00601446" w14:paraId="3FA141DB" w14:textId="77777777" w:rsidTr="00601446">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B796A5F"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Right of Access</w:t>
            </w:r>
          </w:p>
        </w:tc>
        <w:tc>
          <w:tcPr>
            <w:tcW w:w="632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BF275E3"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Individuals can request access to their personal data (Subject Access Request) within one month of the request.</w:t>
            </w:r>
          </w:p>
        </w:tc>
      </w:tr>
      <w:tr w:rsidR="00A76D04" w:rsidRPr="00601446" w14:paraId="4BEBE870" w14:textId="77777777" w:rsidTr="00601446">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86857D6"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Right to Rectification</w:t>
            </w:r>
          </w:p>
        </w:tc>
        <w:tc>
          <w:tcPr>
            <w:tcW w:w="632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5FE6816"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Individuals can request that inaccurate personal data is corrected without undue delay.</w:t>
            </w:r>
          </w:p>
        </w:tc>
      </w:tr>
      <w:tr w:rsidR="00A76D04" w:rsidRPr="00601446" w14:paraId="38AFBA29" w14:textId="77777777" w:rsidTr="00601446">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440DF5D"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Right to Erasure</w:t>
            </w:r>
          </w:p>
        </w:tc>
        <w:tc>
          <w:tcPr>
            <w:tcW w:w="632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7C5C1FC"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Individuals can request deletion of their data where there is no compelling reason to continue processing.</w:t>
            </w:r>
          </w:p>
        </w:tc>
      </w:tr>
      <w:tr w:rsidR="00A76D04" w:rsidRPr="00601446" w14:paraId="74ED46EC" w14:textId="77777777" w:rsidTr="00601446">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8859A06"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Right to Restriction</w:t>
            </w:r>
          </w:p>
        </w:tc>
        <w:tc>
          <w:tcPr>
            <w:tcW w:w="632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872BDEF"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Individuals can request that processing is restricted in certain circumstances.</w:t>
            </w:r>
          </w:p>
        </w:tc>
      </w:tr>
      <w:tr w:rsidR="00A76D04" w:rsidRPr="00601446" w14:paraId="449D6B73" w14:textId="77777777" w:rsidTr="00601446">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DC6C86A"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Right to Portability</w:t>
            </w:r>
          </w:p>
        </w:tc>
        <w:tc>
          <w:tcPr>
            <w:tcW w:w="632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E036DF0"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Individuals have the right to receive their personal data in a structured, commonly used format.</w:t>
            </w:r>
          </w:p>
        </w:tc>
      </w:tr>
      <w:tr w:rsidR="00A76D04" w:rsidRPr="00601446" w14:paraId="1E84B997" w14:textId="77777777" w:rsidTr="00601446">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62FFDC1"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Right to Object</w:t>
            </w:r>
          </w:p>
        </w:tc>
        <w:tc>
          <w:tcPr>
            <w:tcW w:w="632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A26D34B" w14:textId="77777777" w:rsidR="00A76D04" w:rsidRPr="00601446" w:rsidRDefault="00000000" w:rsidP="00601446">
            <w:pPr>
              <w:spacing w:line="360" w:lineRule="auto"/>
              <w:rPr>
                <w:color w:val="171717" w:themeColor="background2" w:themeShade="1A"/>
              </w:rPr>
            </w:pPr>
            <w:r w:rsidRPr="00601446">
              <w:rPr>
                <w:color w:val="171717" w:themeColor="background2" w:themeShade="1A"/>
                <w:sz w:val="20"/>
                <w:szCs w:val="20"/>
              </w:rPr>
              <w:t>Individuals can object to processing based on legitimate interests or direct marketing.</w:t>
            </w:r>
          </w:p>
        </w:tc>
      </w:tr>
    </w:tbl>
    <w:p w14:paraId="64D0AB6C" w14:textId="77777777" w:rsidR="00A76D04" w:rsidRPr="00601446" w:rsidRDefault="00A76D04" w:rsidP="00601446">
      <w:pPr>
        <w:spacing w:before="80" w:line="360" w:lineRule="auto"/>
        <w:rPr>
          <w:color w:val="171717" w:themeColor="background2" w:themeShade="1A"/>
        </w:rPr>
      </w:pPr>
    </w:p>
    <w:p w14:paraId="344D38B5"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lastRenderedPageBreak/>
        <w:t>6. Data Security</w:t>
      </w:r>
    </w:p>
    <w:p w14:paraId="118555DE" w14:textId="77777777" w:rsidR="00A76D04" w:rsidRPr="00601446" w:rsidRDefault="00000000" w:rsidP="00601446">
      <w:pPr>
        <w:spacing w:before="80" w:after="80" w:line="360" w:lineRule="auto"/>
        <w:rPr>
          <w:color w:val="171717" w:themeColor="background2" w:themeShade="1A"/>
        </w:rPr>
      </w:pPr>
      <w:r w:rsidRPr="00601446">
        <w:rPr>
          <w:color w:val="171717" w:themeColor="background2" w:themeShade="1A"/>
        </w:rPr>
        <w:t>We are committed to ensuring that personal data is kept secure. We use a range of technical and organisational measures to protect personal data against unauthorised or unlawful processing and against accidental loss, destruction or damage.</w:t>
      </w:r>
    </w:p>
    <w:p w14:paraId="433BDE85"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Access to personal data is restricted to those with a genuine need to access it</w:t>
      </w:r>
    </w:p>
    <w:p w14:paraId="6AD468FC"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All staff are trained on data protection requirements</w:t>
      </w:r>
    </w:p>
    <w:p w14:paraId="71CC6F20"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Strong password policies and multi-factor authentication are implemented where appropriate</w:t>
      </w:r>
    </w:p>
    <w:p w14:paraId="4AD007E6"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Data is encrypted in transit and at rest where required</w:t>
      </w:r>
    </w:p>
    <w:p w14:paraId="29CBE456"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Regular security assessments and vulnerability testing are conducted</w:t>
      </w:r>
    </w:p>
    <w:p w14:paraId="0E0392A8" w14:textId="77777777" w:rsidR="00A76D04" w:rsidRPr="00601446" w:rsidRDefault="00000000" w:rsidP="00601446">
      <w:pPr>
        <w:pStyle w:val="ListParagraph"/>
        <w:numPr>
          <w:ilvl w:val="0"/>
          <w:numId w:val="2"/>
        </w:numPr>
        <w:spacing w:before="40" w:after="40" w:line="360" w:lineRule="auto"/>
        <w:rPr>
          <w:color w:val="171717" w:themeColor="background2" w:themeShade="1A"/>
        </w:rPr>
      </w:pPr>
      <w:r w:rsidRPr="00601446">
        <w:rPr>
          <w:color w:val="171717" w:themeColor="background2" w:themeShade="1A"/>
        </w:rPr>
        <w:t>Physical security measures are in place to protect data held in physical form</w:t>
      </w:r>
    </w:p>
    <w:p w14:paraId="3A1E0196"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t>7. Data Retention</w:t>
      </w:r>
    </w:p>
    <w:p w14:paraId="2C2FA711" w14:textId="77777777" w:rsidR="00A76D04" w:rsidRPr="00601446" w:rsidRDefault="00000000" w:rsidP="00601446">
      <w:pPr>
        <w:spacing w:before="80" w:after="80" w:line="360" w:lineRule="auto"/>
        <w:rPr>
          <w:color w:val="171717" w:themeColor="background2" w:themeShade="1A"/>
        </w:rPr>
      </w:pPr>
      <w:r w:rsidRPr="00601446">
        <w:rPr>
          <w:color w:val="171717" w:themeColor="background2" w:themeShade="1A"/>
        </w:rPr>
        <w:t>We will not retain personal data for longer than is necessary for the purposes for which it was collected. We maintain a data retention schedule that sets out the appropriate retention periods for different categories of personal data, taking into account our legal, contractual and business obligations.</w:t>
      </w:r>
    </w:p>
    <w:p w14:paraId="3B290D45"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t>8. Data Breach Procedure</w:t>
      </w:r>
    </w:p>
    <w:p w14:paraId="30EEDE98" w14:textId="77777777" w:rsidR="00A76D04" w:rsidRPr="00601446" w:rsidRDefault="00000000" w:rsidP="00601446">
      <w:pPr>
        <w:spacing w:before="80" w:after="80" w:line="360" w:lineRule="auto"/>
        <w:rPr>
          <w:color w:val="171717" w:themeColor="background2" w:themeShade="1A"/>
        </w:rPr>
      </w:pPr>
      <w:r w:rsidRPr="00601446">
        <w:rPr>
          <w:color w:val="171717" w:themeColor="background2" w:themeShade="1A"/>
        </w:rPr>
        <w:t>In the event of a personal data breach, we will assess the risk to individuals and, where required, notify the Information Commissioner's Office (ICO) within 72 hours of becoming aware of the breach. Where the breach is likely to result in a high risk to individuals, we will also notify those individuals without undue delay.</w:t>
      </w:r>
    </w:p>
    <w:p w14:paraId="56DE2E7B" w14:textId="77777777" w:rsidR="00A76D04" w:rsidRPr="00601446" w:rsidRDefault="00000000" w:rsidP="00601446">
      <w:pPr>
        <w:spacing w:before="280" w:after="80" w:line="360" w:lineRule="auto"/>
        <w:rPr>
          <w:color w:val="171717" w:themeColor="background2" w:themeShade="1A"/>
        </w:rPr>
      </w:pPr>
      <w:r w:rsidRPr="00601446">
        <w:rPr>
          <w:b/>
          <w:bCs/>
          <w:color w:val="171717" w:themeColor="background2" w:themeShade="1A"/>
          <w:sz w:val="26"/>
          <w:szCs w:val="26"/>
        </w:rPr>
        <w:t>9. Data Protection Officer / Responsible Person</w:t>
      </w:r>
    </w:p>
    <w:p w14:paraId="24AA068B" w14:textId="77777777" w:rsidR="00A76D04" w:rsidRPr="00601446" w:rsidRDefault="00000000" w:rsidP="00601446">
      <w:pPr>
        <w:spacing w:before="80" w:after="80" w:line="360" w:lineRule="auto"/>
        <w:rPr>
          <w:color w:val="171717" w:themeColor="background2" w:themeShade="1A"/>
        </w:rPr>
      </w:pPr>
      <w:proofErr w:type="spellStart"/>
      <w:r w:rsidRPr="00601446">
        <w:rPr>
          <w:color w:val="171717" w:themeColor="background2" w:themeShade="1A"/>
        </w:rPr>
        <w:t>Haarty</w:t>
      </w:r>
      <w:proofErr w:type="spellEnd"/>
      <w:r w:rsidRPr="00601446">
        <w:rPr>
          <w:color w:val="171717" w:themeColor="background2" w:themeShade="1A"/>
        </w:rPr>
        <w:t xml:space="preserve"> Hanks has designated a responsible person for data protection matters. Any questions regarding this policy or requests from individuals exercising their rights should be directed to the data protection contact via the website at www.haartyhanks.com.</w:t>
      </w:r>
    </w:p>
    <w:p w14:paraId="29C9BE84" w14:textId="77777777" w:rsidR="00A76D04" w:rsidRPr="00601446" w:rsidRDefault="00A76D04" w:rsidP="00601446">
      <w:pPr>
        <w:spacing w:before="400" w:line="360" w:lineRule="auto"/>
        <w:rPr>
          <w:color w:val="171717" w:themeColor="background2" w:themeShade="1A"/>
        </w:rPr>
      </w:pPr>
    </w:p>
    <w:p w14:paraId="3B9E9463" w14:textId="3DDEFDB4" w:rsidR="00A76D04" w:rsidRPr="00601446" w:rsidRDefault="00A76D04" w:rsidP="00601446">
      <w:pPr>
        <w:spacing w:after="100" w:line="360" w:lineRule="auto"/>
        <w:rPr>
          <w:color w:val="171717" w:themeColor="background2" w:themeShade="1A"/>
        </w:rPr>
      </w:pPr>
    </w:p>
    <w:p w14:paraId="77CFEBAA" w14:textId="77777777" w:rsidR="0037475C" w:rsidRPr="00601446" w:rsidRDefault="0037475C" w:rsidP="00601446">
      <w:pPr>
        <w:spacing w:line="360" w:lineRule="auto"/>
        <w:rPr>
          <w:color w:val="171717" w:themeColor="background2" w:themeShade="1A"/>
        </w:rPr>
      </w:pPr>
    </w:p>
    <w:sectPr w:rsidR="0037475C" w:rsidRPr="00601446" w:rsidSect="00601446">
      <w:headerReference w:type="default" r:id="rId9"/>
      <w:footerReference w:type="default" r:id="rId10"/>
      <w:pgSz w:w="11906" w:h="16838"/>
      <w:pgMar w:top="1134" w:right="1134" w:bottom="1134"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0ADC" w14:textId="77777777" w:rsidR="0037475C" w:rsidRDefault="0037475C">
      <w:r>
        <w:separator/>
      </w:r>
    </w:p>
  </w:endnote>
  <w:endnote w:type="continuationSeparator" w:id="0">
    <w:p w14:paraId="7022CD9E" w14:textId="77777777" w:rsidR="0037475C" w:rsidRDefault="0037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CEF" w14:textId="77777777" w:rsidR="00A76D04" w:rsidRDefault="00000000" w:rsidP="00601446">
    <w:pPr>
      <w:spacing w:before="100"/>
      <w:jc w:val="center"/>
    </w:pPr>
    <w:proofErr w:type="spellStart"/>
    <w:r>
      <w:rPr>
        <w:color w:val="555555"/>
        <w:sz w:val="18"/>
        <w:szCs w:val="18"/>
      </w:rPr>
      <w:t>Haarty</w:t>
    </w:r>
    <w:proofErr w:type="spellEnd"/>
    <w:r>
      <w:rPr>
        <w:color w:val="555555"/>
        <w:sz w:val="18"/>
        <w:szCs w:val="18"/>
      </w:rPr>
      <w:t xml:space="preserve"> Hanks | Policy HH-003 | Confidential | Page </w:t>
    </w:r>
    <w:r>
      <w:rPr>
        <w:color w:val="555555"/>
        <w:sz w:val="18"/>
        <w:szCs w:val="18"/>
      </w:rPr>
      <w:fldChar w:fldCharType="begin"/>
    </w:r>
    <w:r>
      <w:rPr>
        <w:color w:val="555555"/>
        <w:sz w:val="18"/>
        <w:szCs w:val="18"/>
      </w:rPr>
      <w:instrText>PAGE</w:instrText>
    </w:r>
    <w:r>
      <w:rPr>
        <w:color w:val="555555"/>
        <w:sz w:val="18"/>
        <w:szCs w:val="18"/>
      </w:rPr>
      <w:fldChar w:fldCharType="separate"/>
    </w:r>
    <w:r w:rsidR="00601446">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601446">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1220" w14:textId="77777777" w:rsidR="0037475C" w:rsidRDefault="0037475C">
      <w:r>
        <w:separator/>
      </w:r>
    </w:p>
  </w:footnote>
  <w:footnote w:type="continuationSeparator" w:id="0">
    <w:p w14:paraId="083F9289" w14:textId="77777777" w:rsidR="0037475C" w:rsidRDefault="00374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5253" w14:textId="77777777" w:rsidR="00A76D04" w:rsidRDefault="00000000" w:rsidP="00601446">
    <w:pPr>
      <w:spacing w:after="100"/>
      <w:jc w:val="center"/>
    </w:pPr>
    <w:proofErr w:type="spellStart"/>
    <w:r>
      <w:rPr>
        <w:color w:val="555555"/>
        <w:sz w:val="18"/>
        <w:szCs w:val="18"/>
      </w:rPr>
      <w:t>Haarty</w:t>
    </w:r>
    <w:proofErr w:type="spellEnd"/>
    <w:r>
      <w:rPr>
        <w:color w:val="555555"/>
        <w:sz w:val="18"/>
        <w:szCs w:val="18"/>
      </w:rPr>
      <w:t xml:space="preserve"> </w:t>
    </w:r>
    <w:proofErr w:type="gramStart"/>
    <w:r>
      <w:rPr>
        <w:color w:val="555555"/>
        <w:sz w:val="18"/>
        <w:szCs w:val="18"/>
      </w:rPr>
      <w:t>Hanks  |</w:t>
    </w:r>
    <w:proofErr w:type="gramEnd"/>
    <w:r>
      <w:rPr>
        <w:color w:val="555555"/>
        <w:sz w:val="18"/>
        <w:szCs w:val="18"/>
      </w:rPr>
      <w:t xml:space="preserve">  Data Protection </w:t>
    </w:r>
    <w:proofErr w:type="gramStart"/>
    <w:r>
      <w:rPr>
        <w:color w:val="555555"/>
        <w:sz w:val="18"/>
        <w:szCs w:val="18"/>
      </w:rPr>
      <w:t>Policy  |</w:t>
    </w:r>
    <w:proofErr w:type="gramEnd"/>
    <w:r>
      <w:rPr>
        <w:color w:val="555555"/>
        <w:sz w:val="18"/>
        <w:szCs w:val="18"/>
      </w:rPr>
      <w:t xml:space="preserve">  </w:t>
    </w:r>
    <w:r>
      <w:rPr>
        <w:color w:val="2E6DA4"/>
        <w:sz w:val="18"/>
        <w:szCs w:val="18"/>
      </w:rPr>
      <w:t>www.haartyhanks.com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7220A"/>
    <w:multiLevelType w:val="hybridMultilevel"/>
    <w:tmpl w:val="181EA546"/>
    <w:lvl w:ilvl="0" w:tplc="F08CBBC0">
      <w:start w:val="1"/>
      <w:numFmt w:val="bullet"/>
      <w:lvlText w:val="●"/>
      <w:lvlJc w:val="left"/>
      <w:pPr>
        <w:ind w:left="720" w:hanging="360"/>
      </w:pPr>
    </w:lvl>
    <w:lvl w:ilvl="1" w:tplc="552E3984">
      <w:start w:val="1"/>
      <w:numFmt w:val="bullet"/>
      <w:lvlText w:val="○"/>
      <w:lvlJc w:val="left"/>
      <w:pPr>
        <w:ind w:left="1440" w:hanging="360"/>
      </w:pPr>
    </w:lvl>
    <w:lvl w:ilvl="2" w:tplc="FA483032">
      <w:start w:val="1"/>
      <w:numFmt w:val="bullet"/>
      <w:lvlText w:val="■"/>
      <w:lvlJc w:val="left"/>
      <w:pPr>
        <w:ind w:left="2160" w:hanging="360"/>
      </w:pPr>
    </w:lvl>
    <w:lvl w:ilvl="3" w:tplc="658047AC">
      <w:start w:val="1"/>
      <w:numFmt w:val="bullet"/>
      <w:lvlText w:val="●"/>
      <w:lvlJc w:val="left"/>
      <w:pPr>
        <w:ind w:left="2880" w:hanging="360"/>
      </w:pPr>
    </w:lvl>
    <w:lvl w:ilvl="4" w:tplc="E83AA9E0">
      <w:start w:val="1"/>
      <w:numFmt w:val="bullet"/>
      <w:lvlText w:val="○"/>
      <w:lvlJc w:val="left"/>
      <w:pPr>
        <w:ind w:left="3600" w:hanging="360"/>
      </w:pPr>
    </w:lvl>
    <w:lvl w:ilvl="5" w:tplc="976C94B0">
      <w:start w:val="1"/>
      <w:numFmt w:val="bullet"/>
      <w:lvlText w:val="■"/>
      <w:lvlJc w:val="left"/>
      <w:pPr>
        <w:ind w:left="4320" w:hanging="360"/>
      </w:pPr>
    </w:lvl>
    <w:lvl w:ilvl="6" w:tplc="ABC41A2C">
      <w:start w:val="1"/>
      <w:numFmt w:val="bullet"/>
      <w:lvlText w:val="●"/>
      <w:lvlJc w:val="left"/>
      <w:pPr>
        <w:ind w:left="5040" w:hanging="360"/>
      </w:pPr>
    </w:lvl>
    <w:lvl w:ilvl="7" w:tplc="87C28356">
      <w:start w:val="1"/>
      <w:numFmt w:val="bullet"/>
      <w:lvlText w:val="●"/>
      <w:lvlJc w:val="left"/>
      <w:pPr>
        <w:ind w:left="5760" w:hanging="360"/>
      </w:pPr>
    </w:lvl>
    <w:lvl w:ilvl="8" w:tplc="10CE3624">
      <w:start w:val="1"/>
      <w:numFmt w:val="bullet"/>
      <w:lvlText w:val="●"/>
      <w:lvlJc w:val="left"/>
      <w:pPr>
        <w:ind w:left="6480" w:hanging="360"/>
      </w:pPr>
    </w:lvl>
  </w:abstractNum>
  <w:abstractNum w:abstractNumId="1" w15:restartNumberingAfterBreak="0">
    <w:nsid w:val="777B0C09"/>
    <w:multiLevelType w:val="hybridMultilevel"/>
    <w:tmpl w:val="C50CE606"/>
    <w:lvl w:ilvl="0" w:tplc="265AD75A">
      <w:start w:val="1"/>
      <w:numFmt w:val="bullet"/>
      <w:lvlText w:val="•"/>
      <w:lvlJc w:val="left"/>
      <w:pPr>
        <w:ind w:left="720" w:hanging="360"/>
      </w:pPr>
    </w:lvl>
    <w:lvl w:ilvl="1" w:tplc="11A4460A">
      <w:numFmt w:val="decimal"/>
      <w:lvlText w:val=""/>
      <w:lvlJc w:val="left"/>
    </w:lvl>
    <w:lvl w:ilvl="2" w:tplc="7CAA04E2">
      <w:numFmt w:val="decimal"/>
      <w:lvlText w:val=""/>
      <w:lvlJc w:val="left"/>
    </w:lvl>
    <w:lvl w:ilvl="3" w:tplc="B57E4952">
      <w:numFmt w:val="decimal"/>
      <w:lvlText w:val=""/>
      <w:lvlJc w:val="left"/>
    </w:lvl>
    <w:lvl w:ilvl="4" w:tplc="47223CE4">
      <w:numFmt w:val="decimal"/>
      <w:lvlText w:val=""/>
      <w:lvlJc w:val="left"/>
    </w:lvl>
    <w:lvl w:ilvl="5" w:tplc="6E3C959A">
      <w:numFmt w:val="decimal"/>
      <w:lvlText w:val=""/>
      <w:lvlJc w:val="left"/>
    </w:lvl>
    <w:lvl w:ilvl="6" w:tplc="BF0E141E">
      <w:numFmt w:val="decimal"/>
      <w:lvlText w:val=""/>
      <w:lvlJc w:val="left"/>
    </w:lvl>
    <w:lvl w:ilvl="7" w:tplc="4830AAC8">
      <w:numFmt w:val="decimal"/>
      <w:lvlText w:val=""/>
      <w:lvlJc w:val="left"/>
    </w:lvl>
    <w:lvl w:ilvl="8" w:tplc="555E4E26">
      <w:numFmt w:val="decimal"/>
      <w:lvlText w:val=""/>
      <w:lvlJc w:val="left"/>
    </w:lvl>
  </w:abstractNum>
  <w:num w:numId="1" w16cid:durableId="347098446">
    <w:abstractNumId w:val="0"/>
    <w:lvlOverride w:ilvl="0">
      <w:startOverride w:val="1"/>
    </w:lvlOverride>
  </w:num>
  <w:num w:numId="2" w16cid:durableId="7414860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04"/>
    <w:rsid w:val="0037475C"/>
    <w:rsid w:val="00563EDD"/>
    <w:rsid w:val="00601446"/>
    <w:rsid w:val="00826BE0"/>
    <w:rsid w:val="00A76D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DDF0"/>
  <w15:docId w15:val="{CBF1C99D-4031-4817-A312-FCB962A1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01446"/>
    <w:pPr>
      <w:tabs>
        <w:tab w:val="center" w:pos="4513"/>
        <w:tab w:val="right" w:pos="9026"/>
      </w:tabs>
    </w:pPr>
  </w:style>
  <w:style w:type="character" w:customStyle="1" w:styleId="HeaderChar">
    <w:name w:val="Header Char"/>
    <w:basedOn w:val="DefaultParagraphFont"/>
    <w:link w:val="Header"/>
    <w:uiPriority w:val="99"/>
    <w:rsid w:val="00601446"/>
  </w:style>
  <w:style w:type="paragraph" w:styleId="Footer">
    <w:name w:val="footer"/>
    <w:basedOn w:val="Normal"/>
    <w:link w:val="FooterChar"/>
    <w:uiPriority w:val="99"/>
    <w:unhideWhenUsed/>
    <w:rsid w:val="00601446"/>
    <w:pPr>
      <w:tabs>
        <w:tab w:val="center" w:pos="4513"/>
        <w:tab w:val="right" w:pos="9026"/>
      </w:tabs>
    </w:pPr>
  </w:style>
  <w:style w:type="character" w:customStyle="1" w:styleId="FooterChar">
    <w:name w:val="Footer Char"/>
    <w:basedOn w:val="DefaultParagraphFont"/>
    <w:link w:val="Footer"/>
    <w:uiPriority w:val="99"/>
    <w:rsid w:val="0060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5D37F-E82E-4C7B-A3B9-931268F8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Rajat Bhagwat</cp:lastModifiedBy>
  <cp:revision>2</cp:revision>
  <dcterms:created xsi:type="dcterms:W3CDTF">2026-05-25T11:56:00Z</dcterms:created>
  <dcterms:modified xsi:type="dcterms:W3CDTF">2026-05-25T11:56:00Z</dcterms:modified>
</cp:coreProperties>
</file>